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755AAF67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384D49">
        <w:rPr>
          <w:rFonts w:ascii="Arial Narrow" w:hAnsi="Arial Narrow" w:cs="Arial"/>
          <w:b/>
          <w:bCs/>
        </w:rPr>
        <w:t>42/2025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5944398D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="00C92658">
        <w:rPr>
          <w:rFonts w:ascii="Arial Narrow" w:hAnsi="Arial Narrow"/>
          <w:b/>
          <w:bCs/>
          <w:sz w:val="22"/>
          <w:szCs w:val="22"/>
        </w:rPr>
        <w:t xml:space="preserve"> </w:t>
      </w:r>
      <w:r w:rsidR="00384D49">
        <w:rPr>
          <w:rFonts w:ascii="Arial Narrow" w:hAnsi="Arial Narrow"/>
          <w:b/>
          <w:bCs/>
          <w:sz w:val="22"/>
          <w:szCs w:val="22"/>
        </w:rPr>
        <w:t>RODRIGO ZAGO SZORTYKA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>CPF/MF nº</w:t>
      </w:r>
      <w:r w:rsidR="00242628">
        <w:rPr>
          <w:rFonts w:ascii="Arial Narrow" w:hAnsi="Arial Narrow"/>
          <w:sz w:val="22"/>
          <w:szCs w:val="22"/>
        </w:rPr>
        <w:t xml:space="preserve"> </w:t>
      </w:r>
      <w:r w:rsidR="00384D49">
        <w:rPr>
          <w:rFonts w:ascii="Arial Narrow" w:hAnsi="Arial Narrow"/>
          <w:sz w:val="22"/>
          <w:szCs w:val="22"/>
        </w:rPr>
        <w:t>010.909.730-04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090DAC">
        <w:rPr>
          <w:rFonts w:ascii="Arial Narrow" w:hAnsi="Arial Narrow"/>
          <w:sz w:val="22"/>
          <w:szCs w:val="22"/>
        </w:rPr>
        <w:t>4056719505</w:t>
      </w:r>
      <w:r w:rsidR="00891456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 xml:space="preserve">expedida pela </w:t>
      </w:r>
      <w:r w:rsidR="00090DAC">
        <w:rPr>
          <w:rFonts w:ascii="Arial Narrow" w:hAnsi="Arial Narrow"/>
          <w:sz w:val="22"/>
          <w:szCs w:val="22"/>
        </w:rPr>
        <w:t>SSP/RS</w:t>
      </w:r>
      <w:r w:rsidR="00427CFD">
        <w:rPr>
          <w:rFonts w:ascii="Arial Narrow" w:hAnsi="Arial Narrow"/>
          <w:sz w:val="22"/>
          <w:szCs w:val="22"/>
        </w:rPr>
        <w:t xml:space="preserve">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090DAC">
        <w:rPr>
          <w:rFonts w:ascii="Arial Narrow" w:hAnsi="Arial Narrow"/>
          <w:sz w:val="22"/>
          <w:szCs w:val="22"/>
        </w:rPr>
        <w:t xml:space="preserve">315/2025 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>estabelecido na</w:t>
      </w:r>
      <w:r w:rsidR="00755781">
        <w:rPr>
          <w:rFonts w:ascii="Arial Narrow" w:hAnsi="Arial Narrow"/>
          <w:sz w:val="22"/>
          <w:szCs w:val="22"/>
        </w:rPr>
        <w:t xml:space="preserve"> </w:t>
      </w:r>
      <w:r w:rsidR="00090DAC">
        <w:rPr>
          <w:rFonts w:ascii="Arial Narrow" w:hAnsi="Arial Narrow"/>
          <w:sz w:val="22"/>
          <w:szCs w:val="22"/>
        </w:rPr>
        <w:t>Rua Av. São Francisco de Paula, nº 3504, sala 101, Areal em Pelotas</w:t>
      </w:r>
      <w:r w:rsidR="002A1267">
        <w:rPr>
          <w:rFonts w:ascii="Arial Narrow" w:hAnsi="Arial Narrow"/>
          <w:sz w:val="22"/>
          <w:szCs w:val="22"/>
        </w:rPr>
        <w:t>/RS</w:t>
      </w:r>
      <w:r>
        <w:rPr>
          <w:rFonts w:ascii="Arial Narrow" w:hAnsi="Arial Narrow"/>
          <w:sz w:val="22"/>
          <w:szCs w:val="22"/>
        </w:rPr>
        <w:t>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forma simultânea; Divulgação do leilão em redes sociais como facebook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>Não ceder  ou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>A CREDENCIANTE por meio da Secretária de Administração Senhora Elisandra Scussel,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>a CREDENCIANTE reserva-se o direito de fiscalizar, a qualquer tempo, o local de trabalho do CREDENCIADO, bem como seus equipamentos de trabalho, devendo esta fornecer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deixar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apresentar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>Outros Serviços de Terceiros Pessoa Jurídica ( STN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25009920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DB2098">
        <w:rPr>
          <w:rFonts w:ascii="Arial Narrow" w:hAnsi="Arial Narrow"/>
          <w:sz w:val="22"/>
          <w:szCs w:val="22"/>
        </w:rPr>
        <w:t>10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471724DD" w14:textId="77777777" w:rsidR="002A1267" w:rsidRDefault="00000000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2A1267">
        <w:rPr>
          <w:rFonts w:ascii="Arial Narrow" w:hAnsi="Arial Narrow"/>
          <w:b/>
          <w:bCs/>
          <w:sz w:val="22"/>
          <w:szCs w:val="22"/>
        </w:rPr>
        <w:t>RODRIGO ZAGO SZORTYKA</w:t>
      </w:r>
    </w:p>
    <w:p w14:paraId="2BDE311C" w14:textId="5DEE05D4" w:rsidR="002A1267" w:rsidRDefault="00130E57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2A1267">
        <w:rPr>
          <w:rFonts w:ascii="Arial Narrow" w:hAnsi="Arial Narrow"/>
          <w:b/>
          <w:bCs/>
          <w:sz w:val="22"/>
          <w:szCs w:val="22"/>
        </w:rPr>
        <w:t>RODRIGO ZAGO SZORTYKA</w:t>
      </w:r>
    </w:p>
    <w:p w14:paraId="69E0AC3A" w14:textId="30CC6227" w:rsidR="00272C69" w:rsidRDefault="00FA765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</w:t>
      </w:r>
      <w:r w:rsidR="00130E57">
        <w:rPr>
          <w:rFonts w:ascii="Arial Narrow" w:hAnsi="Arial Narrow"/>
          <w:sz w:val="22"/>
          <w:szCs w:val="22"/>
        </w:rPr>
        <w:t>o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7BC9" w14:textId="77777777" w:rsidR="0048239A" w:rsidRDefault="0048239A">
      <w:r>
        <w:separator/>
      </w:r>
    </w:p>
  </w:endnote>
  <w:endnote w:type="continuationSeparator" w:id="0">
    <w:p w14:paraId="044422F0" w14:textId="77777777" w:rsidR="0048239A" w:rsidRDefault="0048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E517" w14:textId="77777777" w:rsidR="0048239A" w:rsidRDefault="0048239A">
      <w:r>
        <w:separator/>
      </w:r>
    </w:p>
  </w:footnote>
  <w:footnote w:type="continuationSeparator" w:id="0">
    <w:p w14:paraId="0317F5D3" w14:textId="77777777" w:rsidR="0048239A" w:rsidRDefault="0048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37D0F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85786"/>
    <w:rsid w:val="00090DAC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0E57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97161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42628"/>
    <w:rsid w:val="0024697F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267"/>
    <w:rsid w:val="002A17C9"/>
    <w:rsid w:val="002A630B"/>
    <w:rsid w:val="002A646A"/>
    <w:rsid w:val="002B10CD"/>
    <w:rsid w:val="002B4451"/>
    <w:rsid w:val="002B5EE0"/>
    <w:rsid w:val="002C292B"/>
    <w:rsid w:val="002C65F1"/>
    <w:rsid w:val="002D40D7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0E8E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84D49"/>
    <w:rsid w:val="00390A7D"/>
    <w:rsid w:val="00391DA4"/>
    <w:rsid w:val="00393732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0FBE"/>
    <w:rsid w:val="003E3B06"/>
    <w:rsid w:val="003F3C76"/>
    <w:rsid w:val="003F43FD"/>
    <w:rsid w:val="003F5EBF"/>
    <w:rsid w:val="003F726C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8239A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44ACE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55781"/>
    <w:rsid w:val="00765CF4"/>
    <w:rsid w:val="00775BBE"/>
    <w:rsid w:val="00781BAF"/>
    <w:rsid w:val="00783471"/>
    <w:rsid w:val="00785F81"/>
    <w:rsid w:val="00794609"/>
    <w:rsid w:val="007A3350"/>
    <w:rsid w:val="007A7948"/>
    <w:rsid w:val="007A7999"/>
    <w:rsid w:val="007B3C4E"/>
    <w:rsid w:val="007B4D53"/>
    <w:rsid w:val="007B4EAF"/>
    <w:rsid w:val="007B54D0"/>
    <w:rsid w:val="007C1BA7"/>
    <w:rsid w:val="007C7E93"/>
    <w:rsid w:val="007D39B0"/>
    <w:rsid w:val="007D773A"/>
    <w:rsid w:val="007E2CD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456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B6E55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444"/>
    <w:rsid w:val="00B35A31"/>
    <w:rsid w:val="00B41268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B7F43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324"/>
    <w:rsid w:val="00C20B08"/>
    <w:rsid w:val="00C22F69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2658"/>
    <w:rsid w:val="00C9689B"/>
    <w:rsid w:val="00CB2ECC"/>
    <w:rsid w:val="00CB5C51"/>
    <w:rsid w:val="00CC1803"/>
    <w:rsid w:val="00CC1D0F"/>
    <w:rsid w:val="00CC2033"/>
    <w:rsid w:val="00CD36C6"/>
    <w:rsid w:val="00CD372F"/>
    <w:rsid w:val="00CD455B"/>
    <w:rsid w:val="00CE1C1F"/>
    <w:rsid w:val="00CE1C93"/>
    <w:rsid w:val="00CF5A76"/>
    <w:rsid w:val="00D012E1"/>
    <w:rsid w:val="00D42C39"/>
    <w:rsid w:val="00D54297"/>
    <w:rsid w:val="00D5553A"/>
    <w:rsid w:val="00D56606"/>
    <w:rsid w:val="00D61A59"/>
    <w:rsid w:val="00D82F2B"/>
    <w:rsid w:val="00DA2496"/>
    <w:rsid w:val="00DA308A"/>
    <w:rsid w:val="00DA323E"/>
    <w:rsid w:val="00DA5526"/>
    <w:rsid w:val="00DA5FCD"/>
    <w:rsid w:val="00DB2098"/>
    <w:rsid w:val="00DB2A10"/>
    <w:rsid w:val="00DB2A6C"/>
    <w:rsid w:val="00DB46B9"/>
    <w:rsid w:val="00DB6656"/>
    <w:rsid w:val="00DB7AD5"/>
    <w:rsid w:val="00DC3C94"/>
    <w:rsid w:val="00DC547E"/>
    <w:rsid w:val="00DD6F3D"/>
    <w:rsid w:val="00DE00C0"/>
    <w:rsid w:val="00DE0BA1"/>
    <w:rsid w:val="00DE761F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22F9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26A5"/>
    <w:rsid w:val="00FA422E"/>
    <w:rsid w:val="00FA75AB"/>
    <w:rsid w:val="00FA7650"/>
    <w:rsid w:val="00FB1E27"/>
    <w:rsid w:val="00FB54F2"/>
    <w:rsid w:val="00FB56E9"/>
    <w:rsid w:val="00FC2D08"/>
    <w:rsid w:val="00FC35E7"/>
    <w:rsid w:val="00FD0FFC"/>
    <w:rsid w:val="00FD3A68"/>
    <w:rsid w:val="00FD41F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2747</Words>
  <Characters>14834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13</cp:revision>
  <cp:lastPrinted>2025-10-10T16:42:00Z</cp:lastPrinted>
  <dcterms:created xsi:type="dcterms:W3CDTF">2025-10-07T18:48:00Z</dcterms:created>
  <dcterms:modified xsi:type="dcterms:W3CDTF">2025-10-10T16:42:00Z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