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9ABA" w14:textId="14598FCE" w:rsidR="002916A2" w:rsidRDefault="00BA1874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</w:t>
      </w:r>
      <w:r w:rsidR="00E164CB">
        <w:rPr>
          <w:rFonts w:ascii="Arial Narrow" w:hAnsi="Arial Narrow"/>
          <w:b/>
          <w:sz w:val="22"/>
          <w:szCs w:val="22"/>
          <w:u w:val="single"/>
        </w:rPr>
        <w:t>4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4AEE9E56" w14:textId="77777777" w:rsidR="00E164CB" w:rsidRPr="002916A2" w:rsidRDefault="00E164CB" w:rsidP="00E164CB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D5252CD" w14:textId="3678867C" w:rsidR="00BA1874" w:rsidRDefault="00BA1874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1D0EBF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E164CB">
        <w:rPr>
          <w:rFonts w:ascii="Arial Narrow" w:hAnsi="Arial Narrow" w:cs="Arial"/>
          <w:b/>
          <w:color w:val="000000"/>
          <w:sz w:val="21"/>
          <w:szCs w:val="21"/>
        </w:rPr>
        <w:t>ESCOLARES INDUSTRIA E COMERCIO DE MOVEIS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48CC14DE" w14:textId="77777777" w:rsidR="00E164CB" w:rsidRPr="00E164CB" w:rsidRDefault="00E164CB" w:rsidP="00E164C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A3F6575" w14:textId="3077AB58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D0EBF" w:rsidRPr="001D0EBF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E164CB">
        <w:rPr>
          <w:rFonts w:ascii="Arial Narrow" w:hAnsi="Arial Narrow" w:cs="Arial"/>
          <w:b/>
          <w:color w:val="000000"/>
          <w:sz w:val="21"/>
          <w:szCs w:val="21"/>
        </w:rPr>
        <w:t>ESCOLARES INDUSTRIA E COMERCIO DE MOVEIS LTDA</w:t>
      </w:r>
      <w:r w:rsidR="00E164CB" w:rsidRPr="007E0E09">
        <w:rPr>
          <w:rFonts w:ascii="Arial Narrow" w:hAnsi="Arial Narrow" w:cs="Arial"/>
          <w:color w:val="000000"/>
          <w:sz w:val="21"/>
          <w:szCs w:val="21"/>
        </w:rPr>
        <w:t xml:space="preserve">, </w:t>
      </w:r>
      <w:r w:rsidRPr="0032697F">
        <w:rPr>
          <w:rFonts w:ascii="Arial Narrow" w:hAnsi="Arial Narrow" w:cs="Arial"/>
          <w:sz w:val="20"/>
          <w:szCs w:val="20"/>
        </w:rPr>
        <w:t>inscrita no CNPJ sob o nº</w:t>
      </w:r>
      <w:r w:rsidR="00E164CB">
        <w:rPr>
          <w:rFonts w:ascii="Arial Narrow" w:hAnsi="Arial Narrow" w:cs="Arial"/>
          <w:sz w:val="20"/>
          <w:szCs w:val="20"/>
        </w:rPr>
        <w:t xml:space="preserve"> </w:t>
      </w:r>
      <w:r w:rsidR="00E164CB">
        <w:rPr>
          <w:rFonts w:ascii="Arial Narrow" w:hAnsi="Arial Narrow" w:cs="Arial"/>
          <w:bCs/>
          <w:sz w:val="20"/>
          <w:szCs w:val="20"/>
        </w:rPr>
        <w:t>34.832.381/0001-97</w:t>
      </w:r>
      <w:r w:rsidRPr="0032697F">
        <w:rPr>
          <w:rFonts w:ascii="Arial Narrow" w:hAnsi="Arial Narrow" w:cs="Arial"/>
          <w:sz w:val="20"/>
          <w:szCs w:val="20"/>
        </w:rPr>
        <w:t>, estabelecida na</w:t>
      </w:r>
      <w:r w:rsidR="001D0EBF">
        <w:rPr>
          <w:rFonts w:ascii="Arial Narrow" w:hAnsi="Arial Narrow" w:cs="Arial"/>
          <w:sz w:val="20"/>
          <w:szCs w:val="20"/>
        </w:rPr>
        <w:t xml:space="preserve"> </w:t>
      </w:r>
      <w:r w:rsidR="00E164CB">
        <w:rPr>
          <w:rFonts w:ascii="Arial Narrow" w:hAnsi="Arial Narrow" w:cs="Arial"/>
          <w:sz w:val="20"/>
          <w:szCs w:val="20"/>
        </w:rPr>
        <w:t xml:space="preserve">Rua Frederico </w:t>
      </w:r>
      <w:proofErr w:type="spellStart"/>
      <w:r w:rsidR="00E164CB">
        <w:rPr>
          <w:rFonts w:ascii="Arial Narrow" w:hAnsi="Arial Narrow" w:cs="Arial"/>
          <w:sz w:val="20"/>
          <w:szCs w:val="20"/>
        </w:rPr>
        <w:t>Willig</w:t>
      </w:r>
      <w:proofErr w:type="spellEnd"/>
      <w:r w:rsidRPr="0032697F">
        <w:rPr>
          <w:rFonts w:ascii="Arial Narrow" w:hAnsi="Arial Narrow" w:cs="Arial"/>
          <w:sz w:val="20"/>
          <w:szCs w:val="20"/>
        </w:rPr>
        <w:t>,</w:t>
      </w:r>
      <w:r w:rsidR="001D0EBF">
        <w:rPr>
          <w:rFonts w:ascii="Arial Narrow" w:hAnsi="Arial Narrow" w:cs="Arial"/>
          <w:sz w:val="20"/>
          <w:szCs w:val="20"/>
        </w:rPr>
        <w:t xml:space="preserve"> nº</w:t>
      </w:r>
      <w:r w:rsidR="00E164CB">
        <w:rPr>
          <w:rFonts w:ascii="Arial Narrow" w:hAnsi="Arial Narrow" w:cs="Arial"/>
          <w:sz w:val="20"/>
          <w:szCs w:val="20"/>
        </w:rPr>
        <w:t xml:space="preserve"> 255</w:t>
      </w:r>
      <w:r w:rsidR="001C7C45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r w:rsidR="00E164CB">
        <w:rPr>
          <w:rFonts w:ascii="Arial Narrow" w:hAnsi="Arial Narrow" w:cs="Arial"/>
          <w:sz w:val="20"/>
          <w:szCs w:val="20"/>
        </w:rPr>
        <w:t>Distrito Industrial</w:t>
      </w:r>
      <w:r w:rsidR="001D0EBF">
        <w:rPr>
          <w:rFonts w:ascii="Arial Narrow" w:hAnsi="Arial Narrow" w:cs="Arial"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r w:rsidR="00E164CB">
        <w:rPr>
          <w:rFonts w:ascii="Arial Narrow" w:hAnsi="Arial Narrow" w:cs="Arial"/>
          <w:sz w:val="20"/>
          <w:szCs w:val="20"/>
        </w:rPr>
        <w:t>Três de Maio</w:t>
      </w:r>
      <w:r w:rsidR="001C7C45">
        <w:rPr>
          <w:rFonts w:ascii="Arial Narrow" w:hAnsi="Arial Narrow" w:cs="Arial"/>
          <w:sz w:val="20"/>
          <w:szCs w:val="20"/>
        </w:rPr>
        <w:t>/</w:t>
      </w:r>
      <w:r w:rsidR="00E164CB">
        <w:rPr>
          <w:rFonts w:ascii="Arial Narrow" w:hAnsi="Arial Narrow" w:cs="Arial"/>
          <w:sz w:val="20"/>
          <w:szCs w:val="20"/>
        </w:rPr>
        <w:t>RS</w:t>
      </w:r>
      <w:r w:rsidRPr="0032697F">
        <w:rPr>
          <w:rFonts w:ascii="Arial Narrow" w:hAnsi="Arial Narrow" w:cs="Arial"/>
          <w:sz w:val="20"/>
          <w:szCs w:val="20"/>
        </w:rPr>
        <w:t>, neste ato representada pelo Sr.</w:t>
      </w:r>
      <w:r w:rsidR="00E164C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164CB">
        <w:rPr>
          <w:rFonts w:ascii="Arial Narrow" w:hAnsi="Arial Narrow" w:cs="Arial"/>
          <w:sz w:val="20"/>
          <w:szCs w:val="20"/>
        </w:rPr>
        <w:t>Normelia</w:t>
      </w:r>
      <w:proofErr w:type="spellEnd"/>
      <w:r w:rsidR="00E164C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164CB">
        <w:rPr>
          <w:rFonts w:ascii="Arial Narrow" w:hAnsi="Arial Narrow" w:cs="Arial"/>
          <w:sz w:val="20"/>
          <w:szCs w:val="20"/>
        </w:rPr>
        <w:t>Lottermann</w:t>
      </w:r>
      <w:proofErr w:type="spellEnd"/>
      <w:r w:rsidR="00F37051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brasileir</w:t>
      </w:r>
      <w:r w:rsidR="00E164CB">
        <w:rPr>
          <w:rFonts w:ascii="Arial Narrow" w:hAnsi="Arial Narrow" w:cs="Arial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, </w:t>
      </w:r>
      <w:r w:rsidR="00E164CB">
        <w:rPr>
          <w:rFonts w:ascii="Arial Narrow" w:hAnsi="Arial Narrow" w:cs="Arial"/>
          <w:sz w:val="20"/>
          <w:szCs w:val="20"/>
        </w:rPr>
        <w:t>comerciante</w:t>
      </w:r>
      <w:r w:rsidRPr="0032697F">
        <w:rPr>
          <w:rFonts w:ascii="Arial Narrow" w:hAnsi="Arial Narrow" w:cs="Arial"/>
          <w:sz w:val="20"/>
          <w:szCs w:val="20"/>
        </w:rPr>
        <w:t>, inscrit</w:t>
      </w:r>
      <w:r w:rsidR="00E164CB">
        <w:rPr>
          <w:rFonts w:ascii="Arial Narrow" w:hAnsi="Arial Narrow" w:cs="Arial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no CPF sob o nº </w:t>
      </w:r>
      <w:r w:rsidR="00E164CB">
        <w:rPr>
          <w:rFonts w:ascii="Arial Narrow" w:hAnsi="Arial Narrow" w:cs="Arial"/>
          <w:sz w:val="20"/>
          <w:szCs w:val="20"/>
        </w:rPr>
        <w:t>283.655.340-53</w:t>
      </w:r>
      <w:r w:rsidRPr="0032697F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E164CB">
        <w:rPr>
          <w:rFonts w:ascii="Arial Narrow" w:hAnsi="Arial Narrow" w:cs="Arial"/>
          <w:sz w:val="20"/>
          <w:szCs w:val="20"/>
        </w:rPr>
        <w:t>9009740251</w:t>
      </w:r>
      <w:r w:rsidRPr="0032697F">
        <w:rPr>
          <w:rFonts w:ascii="Arial Narrow" w:hAnsi="Arial Narrow" w:cs="Arial"/>
          <w:sz w:val="20"/>
          <w:szCs w:val="20"/>
        </w:rPr>
        <w:t xml:space="preserve"> expedida pela</w:t>
      </w:r>
      <w:r w:rsidR="001C7C45">
        <w:rPr>
          <w:rFonts w:ascii="Arial Narrow" w:hAnsi="Arial Narrow" w:cs="Arial"/>
          <w:sz w:val="20"/>
          <w:szCs w:val="20"/>
        </w:rPr>
        <w:t xml:space="preserve"> SSP/</w:t>
      </w:r>
      <w:r w:rsidR="00E164CB">
        <w:rPr>
          <w:rFonts w:ascii="Arial Narrow" w:hAnsi="Arial Narrow" w:cs="Arial"/>
          <w:sz w:val="20"/>
          <w:szCs w:val="20"/>
        </w:rPr>
        <w:t>RS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65D3F00" w14:textId="0B6A86A5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77777777" w:rsidR="005B3E8E" w:rsidRP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2B9121A3" w14:textId="77777777" w:rsidR="005B3E8E" w:rsidRP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C43930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7D2D182" w14:textId="69C2F712" w:rsidR="005B3E8E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47D34B28" w14:textId="0FF70D1C" w:rsidR="0032697F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42526510" w14:textId="7C76475D" w:rsidR="005B3E8E" w:rsidRP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0B78A4F2" w14:textId="211B8871" w:rsidR="0032697F" w:rsidRPr="002916A2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8299BC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F4A5E56" w14:textId="7590A6BE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311EDE0" w14:textId="0DFC99FF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8"/>
        <w:gridCol w:w="567"/>
        <w:gridCol w:w="4111"/>
        <w:gridCol w:w="1134"/>
        <w:gridCol w:w="1418"/>
        <w:gridCol w:w="1417"/>
      </w:tblGrid>
      <w:tr w:rsidR="00E164CB" w:rsidRPr="006E4F5B" w14:paraId="2799ED45" w14:textId="77777777" w:rsidTr="005E7ED3">
        <w:trPr>
          <w:cantSplit/>
          <w:trHeight w:val="27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FE8FAE9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7EE94D5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QUAN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6D0A790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DB926A3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30C278F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  <w:p w14:paraId="14568BD1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MODELO</w:t>
            </w:r>
          </w:p>
          <w:p w14:paraId="573E95DC" w14:textId="77777777" w:rsidR="00E164CB" w:rsidRPr="006E4F5B" w:rsidRDefault="00E164CB" w:rsidP="005E7ED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F6F6" w14:textId="77777777" w:rsidR="00E164CB" w:rsidRPr="006E4F5B" w:rsidRDefault="00E164CB" w:rsidP="005E7E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– R$</w:t>
            </w:r>
          </w:p>
        </w:tc>
      </w:tr>
      <w:tr w:rsidR="00E164CB" w:rsidRPr="006E4F5B" w14:paraId="6F7A37E1" w14:textId="77777777" w:rsidTr="005E7ED3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8DB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7DCC3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D1190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78A5E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415CF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7B581FD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88DF0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TOTAL</w:t>
            </w:r>
          </w:p>
        </w:tc>
      </w:tr>
      <w:tr w:rsidR="00E164CB" w:rsidRPr="006E4F5B" w14:paraId="3217C7D8" w14:textId="77777777" w:rsidTr="00E164CB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EB125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E9C67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2EB97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4E754" w14:textId="531B6A91" w:rsidR="00E164CB" w:rsidRPr="006E4F5B" w:rsidRDefault="00E164CB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F5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C5AFA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C</w:t>
            </w:r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 xml:space="preserve">onjunto de mesa e dois bancos padrão </w:t>
            </w:r>
            <w:r w:rsidR="00DC5AFA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FNDE</w:t>
            </w:r>
            <w:r w:rsidRPr="006E4F5B">
              <w:rPr>
                <w:rFonts w:ascii="Arial Narrow" w:hAnsi="Arial Narrow"/>
                <w:sz w:val="18"/>
                <w:szCs w:val="18"/>
              </w:rPr>
              <w:t xml:space="preserve">. mesa com tampo confeccionado em chapa de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mdp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com 25mm de espessura, revestido na face superior com laminado melamínico de alta pressão e na face inferior com laminado melamínico de baixa pressão. bordas longitudinais em post-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forming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de 90º e bordas transversais revestidas com fita de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pvc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com 2mm de espessura, ambos na cor </w:t>
            </w:r>
            <w:proofErr w:type="spellStart"/>
            <w:proofErr w:type="gramStart"/>
            <w:r w:rsidRPr="006E4F5B">
              <w:rPr>
                <w:rFonts w:ascii="Arial Narrow" w:hAnsi="Arial Narrow"/>
                <w:sz w:val="18"/>
                <w:szCs w:val="18"/>
              </w:rPr>
              <w:t>bege.estrutura</w:t>
            </w:r>
            <w:proofErr w:type="spellEnd"/>
            <w:proofErr w:type="gramEnd"/>
            <w:r w:rsidRPr="006E4F5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empilhável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confeccionada em tubo de aço industrial de 20x40mm e chapa 18 (espessura mínima de 1,2mm). fechamento dos topos inferiores dos pés com ponteiras plásticas internas injetadas na cor preta, fixadas à estrutura através de encaixe. fixação do tampo através de parafusos zincados. banco com assento confeccionado em chapa de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mdp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com 25mm de espessura, revestido na face superior com laminado melamínico de alta pressão e na face inferior com laminado melamínico de baixa pressão. bordas longitudinais em post-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forming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de 90º e bordas transversais revestidas em fita de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pvc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com 2mm de espessura, ambos na cor bege. estrutura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empilhável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confeccionada em tubo de aço industrial de 20x40mm e chapa 18 (espessura mínima de 1,2mm). fechamento dos topos inferiores dos pés com ponteiras plásticas internas injetadas na cor preta, fixadas à estrutura através de encaixe. a fixação do assento é feita através de parafusos zincados. os componentes que formam o conjunto deverão ser ligados entre si através de solda pelo processo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mig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. dimensões aproximadas: </w:t>
            </w:r>
            <w:r w:rsidRPr="006E4F5B">
              <w:rPr>
                <w:rFonts w:ascii="Arial Narrow" w:hAnsi="Arial Narrow"/>
                <w:b/>
                <w:bCs/>
                <w:sz w:val="18"/>
                <w:szCs w:val="18"/>
              </w:rPr>
              <w:t>8 lugares</w:t>
            </w:r>
            <w:r w:rsidRPr="006E4F5B">
              <w:rPr>
                <w:rFonts w:ascii="Arial Narrow" w:hAnsi="Arial Narrow"/>
                <w:sz w:val="18"/>
                <w:szCs w:val="18"/>
              </w:rPr>
              <w:t xml:space="preserve"> mesa: 2000x700mm; banco: 1900x300mm; altura: 03/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pst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720mm; 03/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pst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420mm.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B7BCC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Reiflex</w:t>
            </w:r>
            <w:proofErr w:type="spellEnd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0D292BBC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RX20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F7F90FA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1.180,00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BE9C42D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17.700,00</w:t>
            </w:r>
          </w:p>
        </w:tc>
      </w:tr>
      <w:tr w:rsidR="00E164CB" w:rsidRPr="006E4F5B" w14:paraId="74C3E21B" w14:textId="77777777" w:rsidTr="00E164CB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E578F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1CA5C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D1B37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9E71E" w14:textId="6235F2E8" w:rsidR="00E164CB" w:rsidRPr="006E4F5B" w:rsidRDefault="00DC5AFA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</w:t>
            </w:r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esa monobloco tampo em </w:t>
            </w:r>
            <w:proofErr w:type="spellStart"/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>mdp</w:t>
            </w:r>
            <w:proofErr w:type="spellEnd"/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>,</w:t>
            </w:r>
            <w:r w:rsidR="00E164CB" w:rsidRPr="006E4F5B">
              <w:rPr>
                <w:rFonts w:ascii="Arial Narrow" w:hAnsi="Arial Narrow"/>
                <w:sz w:val="18"/>
                <w:szCs w:val="18"/>
              </w:rPr>
              <w:t xml:space="preserve"> face superior em laminado de alta pressão texturizado, face inferior </w:t>
            </w:r>
            <w:proofErr w:type="spellStart"/>
            <w:r w:rsidR="00E164CB" w:rsidRPr="006E4F5B">
              <w:rPr>
                <w:rFonts w:ascii="Arial Narrow" w:hAnsi="Arial Narrow"/>
                <w:sz w:val="18"/>
                <w:szCs w:val="18"/>
              </w:rPr>
              <w:t>bp</w:t>
            </w:r>
            <w:proofErr w:type="spellEnd"/>
            <w:r w:rsidR="00E164CB" w:rsidRPr="006E4F5B">
              <w:rPr>
                <w:rFonts w:ascii="Arial Narrow" w:hAnsi="Arial Narrow"/>
                <w:sz w:val="18"/>
                <w:szCs w:val="18"/>
              </w:rPr>
              <w:t>, bordos fresados e boleados. estrutura monobloco em tubo de aço redondo ø1 ¼”. acabamento com pintura epóxi e ponteiras pretas.</w:t>
            </w:r>
          </w:p>
          <w:p w14:paraId="5DB45771" w14:textId="23001DC2" w:rsidR="00E164CB" w:rsidRPr="00E164CB" w:rsidRDefault="00E164CB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F5B">
              <w:rPr>
                <w:rFonts w:ascii="Arial Narrow" w:hAnsi="Arial Narrow"/>
                <w:sz w:val="18"/>
                <w:szCs w:val="18"/>
              </w:rPr>
              <w:t>dimensões aproximadas: comprimento – 1200 mm largura – 800 mm altura do tampo – 740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B7978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Reiflex</w:t>
            </w:r>
            <w:proofErr w:type="spellEnd"/>
          </w:p>
          <w:p w14:paraId="03BFCE42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RX30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0586F66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465,00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BB68974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4.650,00</w:t>
            </w:r>
          </w:p>
        </w:tc>
      </w:tr>
      <w:tr w:rsidR="00E164CB" w:rsidRPr="006E4F5B" w14:paraId="11574B77" w14:textId="77777777" w:rsidTr="00E164CB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2424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53625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B04B5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20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0505F" w14:textId="06F441BB" w:rsidR="00E164CB" w:rsidRPr="00E164CB" w:rsidRDefault="00DC5AFA" w:rsidP="00E164CB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G</w:t>
            </w:r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>aveteiro móvel 04 gavetas</w:t>
            </w:r>
            <w:r w:rsidR="00E164CB" w:rsidRPr="00E164CB">
              <w:rPr>
                <w:rFonts w:ascii="Arial Narrow" w:hAnsi="Arial Narrow"/>
                <w:sz w:val="18"/>
                <w:szCs w:val="18"/>
              </w:rPr>
              <w:t xml:space="preserve"> móvel composto por quatro gavetas. confeccionado em </w:t>
            </w:r>
            <w:proofErr w:type="spellStart"/>
            <w:r w:rsidR="00E164CB" w:rsidRPr="00E164CB">
              <w:rPr>
                <w:rFonts w:ascii="Arial Narrow" w:hAnsi="Arial Narrow"/>
                <w:sz w:val="18"/>
                <w:szCs w:val="18"/>
              </w:rPr>
              <w:t>mdp</w:t>
            </w:r>
            <w:proofErr w:type="spellEnd"/>
            <w:r w:rsidR="00E164CB" w:rsidRPr="00E164CB">
              <w:rPr>
                <w:rFonts w:ascii="Arial Narrow" w:hAnsi="Arial Narrow"/>
                <w:sz w:val="18"/>
                <w:szCs w:val="18"/>
              </w:rPr>
              <w:t xml:space="preserve"> de 18mm revestido em melamínico de baixa pressão. bordas em perfil </w:t>
            </w:r>
            <w:proofErr w:type="spellStart"/>
            <w:r w:rsidR="00E164CB" w:rsidRPr="00E164CB">
              <w:rPr>
                <w:rFonts w:ascii="Arial Narrow" w:hAnsi="Arial Narrow"/>
                <w:sz w:val="18"/>
                <w:szCs w:val="18"/>
              </w:rPr>
              <w:t>pvc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82454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Reiflex</w:t>
            </w:r>
            <w:proofErr w:type="spellEnd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520696DC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RX30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D668C9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350,00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7ED250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7.000,00</w:t>
            </w:r>
          </w:p>
        </w:tc>
      </w:tr>
      <w:tr w:rsidR="00E164CB" w:rsidRPr="006E4F5B" w14:paraId="1094D5BC" w14:textId="77777777" w:rsidTr="00E164CB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6C635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EBF04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2B52C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6702B" w14:textId="774972DB" w:rsidR="00DC5AFA" w:rsidRPr="00E164CB" w:rsidRDefault="00DC5AFA" w:rsidP="00E164CB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rmário alto </w:t>
            </w:r>
            <w:proofErr w:type="spellStart"/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>multiplo</w:t>
            </w:r>
            <w:proofErr w:type="spellEnd"/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uso</w:t>
            </w:r>
            <w:r w:rsidR="00E164CB" w:rsidRPr="00E164CB">
              <w:rPr>
                <w:rFonts w:ascii="Arial Narrow" w:hAnsi="Arial Narrow"/>
                <w:sz w:val="18"/>
                <w:szCs w:val="18"/>
              </w:rPr>
              <w:t xml:space="preserve"> – colorido</w:t>
            </w:r>
            <w:r w:rsidR="00E164CB" w:rsidRPr="006E4F5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164CB" w:rsidRPr="00E164CB">
              <w:rPr>
                <w:rFonts w:ascii="Arial Narrow" w:hAnsi="Arial Narrow"/>
                <w:sz w:val="18"/>
                <w:szCs w:val="18"/>
              </w:rPr>
              <w:t>dimensões: 1900x1200x450mm</w:t>
            </w:r>
            <w:r w:rsidR="00E164CB" w:rsidRPr="006E4F5B">
              <w:rPr>
                <w:rFonts w:ascii="Arial Narrow" w:hAnsi="Arial Narrow"/>
                <w:sz w:val="18"/>
                <w:szCs w:val="18"/>
              </w:rPr>
              <w:t xml:space="preserve"> descrição: estrutura em </w:t>
            </w:r>
            <w:proofErr w:type="spellStart"/>
            <w:r w:rsidR="00E164CB" w:rsidRPr="006E4F5B">
              <w:rPr>
                <w:rFonts w:ascii="Arial Narrow" w:hAnsi="Arial Narrow"/>
                <w:sz w:val="18"/>
                <w:szCs w:val="18"/>
              </w:rPr>
              <w:t>mdf</w:t>
            </w:r>
            <w:proofErr w:type="spellEnd"/>
            <w:r w:rsidR="00E164CB" w:rsidRPr="006E4F5B">
              <w:rPr>
                <w:rFonts w:ascii="Arial Narrow" w:hAnsi="Arial Narrow"/>
                <w:sz w:val="18"/>
                <w:szCs w:val="18"/>
              </w:rPr>
              <w:t xml:space="preserve"> 15mm revestido em melamínico branco. com 9 portas revestidas em melamínico textura colorido, com puxadores individuais. abaixo 2 gavetões com 4 rodízios revestido em melamínico textura. dimensões: 1900mm (a) x 1200mm (l) x 450mm (p). apresentar junto a proposta de preços o certificado de conformidade do sistema de gestão de qualidade emitido pela assoc. brasileira de normas técnicas (</w:t>
            </w:r>
            <w:proofErr w:type="spellStart"/>
            <w:r w:rsidR="00E164CB" w:rsidRPr="006E4F5B">
              <w:rPr>
                <w:rFonts w:ascii="Arial Narrow" w:hAnsi="Arial Narrow"/>
                <w:sz w:val="18"/>
                <w:szCs w:val="18"/>
              </w:rPr>
              <w:t>abnt</w:t>
            </w:r>
            <w:proofErr w:type="spellEnd"/>
            <w:r w:rsidR="00E164CB" w:rsidRPr="006E4F5B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9E19C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Reiflex</w:t>
            </w:r>
            <w:proofErr w:type="spellEnd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4E50FC28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RX60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3E6663F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2.550,00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8ED3EF4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38.250,00</w:t>
            </w:r>
          </w:p>
        </w:tc>
      </w:tr>
      <w:tr w:rsidR="00E164CB" w:rsidRPr="006E4F5B" w14:paraId="15714ED6" w14:textId="77777777" w:rsidTr="00E164CB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3E87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3817B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B2D9D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1C963" w14:textId="678C8B66" w:rsidR="00E164CB" w:rsidRPr="006E4F5B" w:rsidRDefault="00DC5AFA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00E164CB" w:rsidRPr="00DC5AFA">
              <w:rPr>
                <w:rFonts w:ascii="Arial Narrow" w:hAnsi="Arial Narrow"/>
                <w:b/>
                <w:bCs/>
                <w:sz w:val="18"/>
                <w:szCs w:val="18"/>
              </w:rPr>
              <w:t>rmário escolar</w:t>
            </w:r>
            <w:r w:rsidR="00E164CB" w:rsidRPr="006E4F5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164CB" w:rsidRPr="00E164CB">
              <w:rPr>
                <w:rFonts w:ascii="Arial Narrow" w:hAnsi="Arial Narrow"/>
                <w:sz w:val="18"/>
                <w:szCs w:val="18"/>
              </w:rPr>
              <w:t>dimensões: 1600x1000x420mm</w:t>
            </w:r>
          </w:p>
          <w:p w14:paraId="4FD79D47" w14:textId="2E7022EC" w:rsidR="00E164CB" w:rsidRPr="006E4F5B" w:rsidRDefault="00E164CB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F5B">
              <w:rPr>
                <w:rFonts w:ascii="Arial Narrow" w:hAnsi="Arial Narrow"/>
                <w:sz w:val="18"/>
                <w:szCs w:val="18"/>
              </w:rPr>
              <w:t xml:space="preserve">descrição: móvel composto por duas portas individuais e divisória central interna, fundo em </w:t>
            </w:r>
            <w:proofErr w:type="spellStart"/>
            <w:proofErr w:type="gramStart"/>
            <w:r w:rsidRPr="006E4F5B">
              <w:rPr>
                <w:rFonts w:ascii="Arial Narrow" w:hAnsi="Arial Narrow"/>
                <w:sz w:val="18"/>
                <w:szCs w:val="18"/>
              </w:rPr>
              <w:t>duratree.três</w:t>
            </w:r>
            <w:proofErr w:type="spellEnd"/>
            <w:proofErr w:type="gramEnd"/>
            <w:r w:rsidRPr="006E4F5B">
              <w:rPr>
                <w:rFonts w:ascii="Arial Narrow" w:hAnsi="Arial Narrow"/>
                <w:sz w:val="18"/>
                <w:szCs w:val="18"/>
              </w:rPr>
              <w:t xml:space="preserve"> prateleiras internas. confeccionado em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mdp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de 18mm revestido em melamínico de baixa pressão. bordas em perfil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pvc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97D1E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Reiflex</w:t>
            </w:r>
            <w:proofErr w:type="spellEnd"/>
          </w:p>
          <w:p w14:paraId="7001B6F2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RX70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CD453F5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535,00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8A5A32A" w14:textId="77777777" w:rsidR="00E164CB" w:rsidRPr="006E4F5B" w:rsidRDefault="00E164CB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13.375,00</w:t>
            </w:r>
          </w:p>
        </w:tc>
      </w:tr>
      <w:tr w:rsidR="00DC5AFA" w:rsidRPr="006E4F5B" w14:paraId="58109751" w14:textId="77777777" w:rsidTr="00E164CB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19023" w14:textId="1024DAF7" w:rsidR="00DC5AFA" w:rsidRPr="006E4F5B" w:rsidRDefault="00DC5AFA" w:rsidP="00DC5AF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36542" w14:textId="2DD5B481" w:rsidR="00DC5AFA" w:rsidRPr="006E4F5B" w:rsidRDefault="00DC5AFA" w:rsidP="00DC5AF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066F3" w14:textId="3C66C338" w:rsidR="00DC5AFA" w:rsidRPr="006E4F5B" w:rsidRDefault="00DC5AFA" w:rsidP="00DC5AF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150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472D" w14:textId="1C20DA9F" w:rsidR="00DC5AFA" w:rsidRPr="00DC5AFA" w:rsidRDefault="00DC5AFA" w:rsidP="00DC5AFA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C</w:t>
            </w:r>
            <w:r w:rsidRPr="006E4F5B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 xml:space="preserve">onjunto escolar tamanho 06, nos padrões estabelecidos pelo </w:t>
            </w:r>
            <w:proofErr w:type="spellStart"/>
            <w:proofErr w:type="gramStart"/>
            <w:r w:rsidRPr="006E4F5B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fnde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gram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fundo nacional de desenvolvimento) certificado pelo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inmetro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, e em conformidade com a norma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abnt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nbr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14006:2008. carteira com tampo em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mdf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com espessura de 18mm, revestido na face superior em laminado melamínico de alta pressão, 0,8mm de espessura, acabamento texturizado e cantos arredondados. revestimento na face inferior em chapa de balanceamento de 0,6 mm. aplicação de porcas garra com rosca métrica m6 e comprimento 10. dimensões acabadas do tampo 600mm(largura) x 450mm(comprimento) x 19,4 mm(espessura). topos encabeçados com fita de bordo em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pvc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e acabamento texturizado. estrutura composta de montantes verticais e travessa longitudinal confeccionadas em tubo de aço carbono laminado a frio, com costura, secção oblonga de 29mm x 58 mm em chapa 16(1,5mm). travessa superior confeccionada em tubo de aço carbono laminado a frio, com costura, curvado em formato de “c”, com secção circular de ø= 31,75mm (1 ¼”) em chapa 16(1,5 mm). pés confeccionados em tubo de aço carbono laminado a frio, com costura, secção circular de ø = 38 mm (1 ½”) em chapa 16(1,5mm). porta livros em polipropileno puro composto, preferencialmente de matéria prima reciclada ou recuperado injetado na cor cinza. fixação do tampo à estrutura através de porcas garra e parafusos com rosca métrica m6, ø 6,0mm, comprimento 47</w:t>
            </w:r>
            <w:proofErr w:type="gramStart"/>
            <w:r w:rsidRPr="006E4F5B">
              <w:rPr>
                <w:rFonts w:ascii="Arial Narrow" w:hAnsi="Arial Narrow" w:cs="Arial"/>
                <w:sz w:val="18"/>
                <w:szCs w:val="18"/>
              </w:rPr>
              <w:t>mm(</w:t>
            </w:r>
            <w:proofErr w:type="gram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+ou – 2mm), cabeça panela ou oval, fenda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phillips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. fixação das sapatas aos pés através de rebites de “repuxo”, ø 4,8mm, comprimento 12mm, em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prolipropileno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copolímetro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virgem e sem cargas, injetadas e fixadas à estrutura através de encaixe. cadeira com assento e encosto em polipropileno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copolímetro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virgem e sem cargas, injetados, moldados anatomicamente e pigmentados. estrutura em tubo de aço carbono laminado a frio, com costura, ø 20,7 mm em chapa 14 (1,9mm). fixação do assento e encosto à estrutura através de rebites de “repuxo”, ø 4,8 mm e comprimento 12mm. ponteiras e sapatas em polipropileno copolímero virgem e sem cargas, injetadas e fixadas à estrutura através de encaixe e pino expansor. aplicação de tratamento </w:t>
            </w:r>
            <w:proofErr w:type="spellStart"/>
            <w:r w:rsidRPr="006E4F5B">
              <w:rPr>
                <w:rFonts w:ascii="Arial Narrow" w:hAnsi="Arial Narrow" w:cs="Arial"/>
                <w:sz w:val="18"/>
                <w:szCs w:val="18"/>
              </w:rPr>
              <w:t>antiferruginoso</w:t>
            </w:r>
            <w:proofErr w:type="spellEnd"/>
            <w:r w:rsidRPr="006E4F5B">
              <w:rPr>
                <w:rFonts w:ascii="Arial Narrow" w:hAnsi="Arial Narrow" w:cs="Arial"/>
                <w:sz w:val="18"/>
                <w:szCs w:val="18"/>
              </w:rPr>
              <w:t xml:space="preserve"> nas partes metálicas. pintura dos elementos metálicos em tinta em pó </w:t>
            </w:r>
            <w:r w:rsidRPr="00DC5AFA">
              <w:rPr>
                <w:rFonts w:ascii="Arial Narrow" w:hAnsi="Arial Narrow" w:cs="Arial"/>
                <w:sz w:val="18"/>
                <w:szCs w:val="18"/>
              </w:rPr>
              <w:t>híbrida epóxi/poliéster, eletrostática, brilhante polimerizada em estufa, espessura mínima 40 micrometros na cor cinza</w:t>
            </w:r>
            <w:r w:rsidRPr="00DC5AFA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Pr="00DC5AFA">
              <w:rPr>
                <w:rFonts w:ascii="Arial Narrow" w:hAnsi="Arial Narrow" w:cs="Arial"/>
                <w:sz w:val="18"/>
                <w:szCs w:val="18"/>
              </w:rPr>
              <w:t>dimensões total: 600 mm (largura) x 450 mm (comprimento) x 710 mm (altura); tampo: 600 mm (largura) x 450 mm(comprimento); dimensões assento: 400mm(largura) x 430 mm(comprimento); dimensões encosto:396 mm(largura) x 198mm(comprimento</w:t>
            </w:r>
            <w:proofErr w:type="gramStart"/>
            <w:r w:rsidRPr="00DC5AFA">
              <w:rPr>
                <w:rFonts w:ascii="Arial Narrow" w:hAnsi="Arial Narrow" w:cs="Arial"/>
                <w:sz w:val="18"/>
                <w:szCs w:val="18"/>
              </w:rPr>
              <w:t>);  altura</w:t>
            </w:r>
            <w:proofErr w:type="gramEnd"/>
            <w:r w:rsidRPr="00DC5AFA">
              <w:rPr>
                <w:rFonts w:ascii="Arial Narrow" w:hAnsi="Arial Narrow" w:cs="Arial"/>
                <w:sz w:val="18"/>
                <w:szCs w:val="18"/>
              </w:rPr>
              <w:t xml:space="preserve"> do assento ao piso: 460mm; cores para carteira e cadeira: azul; o conjunto deve possuir selo do </w:t>
            </w:r>
            <w:proofErr w:type="spellStart"/>
            <w:r w:rsidRPr="00DC5AFA">
              <w:rPr>
                <w:rFonts w:ascii="Arial Narrow" w:hAnsi="Arial Narrow" w:cs="Arial"/>
                <w:sz w:val="18"/>
                <w:szCs w:val="18"/>
              </w:rPr>
              <w:t>inmentro</w:t>
            </w:r>
            <w:proofErr w:type="spellEnd"/>
            <w:r w:rsidRPr="00DC5AFA">
              <w:rPr>
                <w:rFonts w:ascii="Arial Narrow" w:hAnsi="Arial Narrow" w:cs="Arial"/>
                <w:sz w:val="18"/>
                <w:szCs w:val="18"/>
              </w:rPr>
              <w:t xml:space="preserve"> de identificação</w:t>
            </w:r>
            <w:r w:rsidRPr="00C178AC">
              <w:rPr>
                <w:rFonts w:ascii="Arial Narrow" w:hAnsi="Arial Narrow" w:cs="Arial"/>
                <w:sz w:val="16"/>
                <w:szCs w:val="16"/>
              </w:rPr>
              <w:t xml:space="preserve"> da conformidade contendo número do registro ativo do objeto.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C52F3" w14:textId="77777777" w:rsidR="00DC5AFA" w:rsidRPr="006E4F5B" w:rsidRDefault="00DC5AFA" w:rsidP="00DC5AFA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bCs/>
                <w:sz w:val="18"/>
                <w:szCs w:val="18"/>
              </w:rPr>
              <w:t>Reiflex</w:t>
            </w:r>
            <w:proofErr w:type="spellEnd"/>
          </w:p>
          <w:p w14:paraId="61996D73" w14:textId="5286F4CA" w:rsidR="00DC5AFA" w:rsidRPr="006E4F5B" w:rsidRDefault="00DC5AFA" w:rsidP="00DC5AF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bCs/>
                <w:sz w:val="18"/>
                <w:szCs w:val="18"/>
              </w:rPr>
              <w:t>CJA 06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608C864" w14:textId="1E69D249" w:rsidR="00DC5AFA" w:rsidRPr="006E4F5B" w:rsidRDefault="00DC5AFA" w:rsidP="00DC5AF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sz w:val="18"/>
                <w:szCs w:val="18"/>
              </w:rPr>
              <w:t>524,00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9FC8895" w14:textId="5CB4F962" w:rsidR="00DC5AFA" w:rsidRPr="006E4F5B" w:rsidRDefault="00DC5AFA" w:rsidP="00DC5AF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sz w:val="18"/>
                <w:szCs w:val="18"/>
              </w:rPr>
              <w:t>78.600,00</w:t>
            </w:r>
          </w:p>
        </w:tc>
      </w:tr>
    </w:tbl>
    <w:p w14:paraId="30279382" w14:textId="77777777" w:rsidR="001D0EBF" w:rsidRDefault="001D0EBF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08228A7D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3A3696B1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DC5AFA">
        <w:rPr>
          <w:rFonts w:ascii="Arial Narrow" w:hAnsi="Arial Narrow" w:cs="Arial"/>
          <w:sz w:val="20"/>
          <w:szCs w:val="20"/>
        </w:rPr>
        <w:t>12509-8, Agência 0306, Banco Sicredi.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lastRenderedPageBreak/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5F53A4AA" w14:textId="26E0FAC8" w:rsidR="00F37051" w:rsidRPr="00F37051" w:rsidRDefault="00BA1874" w:rsidP="00601AD5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74F97CF5" w14:textId="2001892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75F73D02" w14:textId="28EC7D80" w:rsidR="00F37051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3975013" w14:textId="77777777" w:rsidR="00F37051" w:rsidRPr="0032697F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4AA89F31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</w:t>
      </w:r>
      <w:r w:rsidR="00DC5AFA">
        <w:rPr>
          <w:rFonts w:ascii="Arial Narrow" w:hAnsi="Arial Narrow" w:cs="Arial"/>
          <w:b/>
          <w:color w:val="000000"/>
          <w:sz w:val="21"/>
          <w:szCs w:val="21"/>
        </w:rPr>
        <w:t>ESCOLARES INDUSTRIA E COMERCIO DE MOVEIS LTDA</w:t>
      </w:r>
    </w:p>
    <w:p w14:paraId="41B45526" w14:textId="1E366F7A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</w:t>
      </w:r>
      <w:r w:rsidR="00DC5AFA">
        <w:rPr>
          <w:rFonts w:ascii="Arial Narrow" w:hAnsi="Arial Narrow" w:cs="Arial"/>
          <w:sz w:val="20"/>
          <w:szCs w:val="20"/>
        </w:rPr>
        <w:t xml:space="preserve">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="00DC5AFA">
        <w:rPr>
          <w:rFonts w:ascii="Arial Narrow" w:hAnsi="Arial Narrow" w:cs="Arial"/>
          <w:sz w:val="20"/>
          <w:szCs w:val="20"/>
        </w:rPr>
        <w:t xml:space="preserve">          </w:t>
      </w:r>
      <w:r w:rsidRPr="0032697F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2EE7A1B3" w:rsidR="00BA1874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7331DBB" w14:textId="4F085045" w:rsidR="00F37051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CFC4FE5" w14:textId="77777777" w:rsidR="00F37051" w:rsidRPr="0032697F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3D6D" w14:textId="77777777" w:rsidR="00B14427" w:rsidRDefault="00B14427" w:rsidP="00965D67">
      <w:r>
        <w:separator/>
      </w:r>
    </w:p>
  </w:endnote>
  <w:endnote w:type="continuationSeparator" w:id="0">
    <w:p w14:paraId="1B1BDE30" w14:textId="77777777" w:rsidR="00B14427" w:rsidRDefault="00B144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B1442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DC80" w14:textId="77777777" w:rsidR="00B14427" w:rsidRDefault="00B14427" w:rsidP="00965D67">
      <w:r>
        <w:separator/>
      </w:r>
    </w:p>
  </w:footnote>
  <w:footnote w:type="continuationSeparator" w:id="0">
    <w:p w14:paraId="244453D3" w14:textId="77777777" w:rsidR="00B14427" w:rsidRDefault="00B144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1DD6"/>
    <w:rsid w:val="001A2B52"/>
    <w:rsid w:val="001C1462"/>
    <w:rsid w:val="001C383A"/>
    <w:rsid w:val="001C43C8"/>
    <w:rsid w:val="001C732F"/>
    <w:rsid w:val="001C7C45"/>
    <w:rsid w:val="001D0EBF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16A2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958AC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641D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14427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AFA"/>
    <w:rsid w:val="00DC5B5A"/>
    <w:rsid w:val="00DC5FD4"/>
    <w:rsid w:val="00DD2E95"/>
    <w:rsid w:val="00DE0CAF"/>
    <w:rsid w:val="00DE30B5"/>
    <w:rsid w:val="00DE3FBF"/>
    <w:rsid w:val="00E0725F"/>
    <w:rsid w:val="00E12CDC"/>
    <w:rsid w:val="00E164CB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370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  <w:style w:type="paragraph" w:styleId="Reviso">
    <w:name w:val="Revision"/>
    <w:hidden/>
    <w:uiPriority w:val="99"/>
    <w:semiHidden/>
    <w:rsid w:val="001D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5</Pages>
  <Words>2634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112</cp:revision>
  <cp:lastPrinted>2021-09-02T18:02:00Z</cp:lastPrinted>
  <dcterms:created xsi:type="dcterms:W3CDTF">2020-09-09T17:31:00Z</dcterms:created>
  <dcterms:modified xsi:type="dcterms:W3CDTF">2021-09-02T18:02:00Z</dcterms:modified>
</cp:coreProperties>
</file>