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7D91F" w14:textId="77777777" w:rsidR="003918BA" w:rsidRPr="003918BA" w:rsidRDefault="003918BA" w:rsidP="003918BA">
      <w:pPr>
        <w:jc w:val="center"/>
        <w:rPr>
          <w:b/>
          <w:bCs/>
          <w:sz w:val="18"/>
          <w:szCs w:val="18"/>
        </w:rPr>
      </w:pPr>
      <w:r w:rsidRPr="003918BA">
        <w:rPr>
          <w:b/>
          <w:bCs/>
          <w:sz w:val="18"/>
          <w:szCs w:val="18"/>
        </w:rPr>
        <w:t>HOMOLOGAÇÃO DO PREGÃO ELETRÔNICO Nº 0002/2021</w:t>
      </w:r>
    </w:p>
    <w:p w14:paraId="5BD16209" w14:textId="77777777" w:rsidR="003918BA" w:rsidRPr="003918BA" w:rsidRDefault="003918BA" w:rsidP="003918BA">
      <w:pPr>
        <w:jc w:val="center"/>
        <w:rPr>
          <w:b/>
          <w:bCs/>
          <w:sz w:val="18"/>
          <w:szCs w:val="18"/>
        </w:rPr>
      </w:pPr>
    </w:p>
    <w:p w14:paraId="0AAAE311" w14:textId="77777777" w:rsidR="003918BA" w:rsidRDefault="003918BA" w:rsidP="003918BA">
      <w:pPr>
        <w:jc w:val="both"/>
        <w:rPr>
          <w:sz w:val="18"/>
          <w:szCs w:val="18"/>
        </w:rPr>
      </w:pPr>
    </w:p>
    <w:p w14:paraId="19D875D3" w14:textId="77777777" w:rsidR="003918BA" w:rsidRDefault="003918BA" w:rsidP="003918BA">
      <w:pPr>
        <w:jc w:val="both"/>
        <w:rPr>
          <w:sz w:val="18"/>
          <w:szCs w:val="18"/>
        </w:rPr>
      </w:pPr>
      <w:r>
        <w:rPr>
          <w:sz w:val="18"/>
          <w:szCs w:val="18"/>
        </w:rPr>
        <w:t>Processo Administrativo nº 72/2021</w:t>
      </w:r>
    </w:p>
    <w:p w14:paraId="202CE88F" w14:textId="77777777" w:rsidR="003918BA" w:rsidRDefault="003918BA" w:rsidP="003918BA">
      <w:pPr>
        <w:jc w:val="both"/>
        <w:rPr>
          <w:sz w:val="18"/>
          <w:szCs w:val="18"/>
        </w:rPr>
      </w:pPr>
    </w:p>
    <w:p w14:paraId="75E285AC" w14:textId="77777777" w:rsidR="003918BA" w:rsidRPr="00544E84" w:rsidRDefault="003918BA" w:rsidP="003918BA">
      <w:pPr>
        <w:widowControl w:val="0"/>
        <w:autoSpaceDE w:val="0"/>
        <w:autoSpaceDN w:val="0"/>
        <w:adjustRightInd w:val="0"/>
        <w:jc w:val="both"/>
        <w:rPr>
          <w:sz w:val="18"/>
          <w:szCs w:val="18"/>
        </w:rPr>
      </w:pPr>
      <w:r w:rsidRPr="00151879">
        <w:rPr>
          <w:sz w:val="18"/>
          <w:szCs w:val="18"/>
          <w:u w:val="single"/>
        </w:rPr>
        <w:t>Objeto</w:t>
      </w:r>
      <w:r w:rsidRPr="00151879">
        <w:rPr>
          <w:sz w:val="18"/>
          <w:szCs w:val="18"/>
        </w:rPr>
        <w:t xml:space="preserve">: </w:t>
      </w:r>
      <w:r w:rsidRPr="00544E84">
        <w:rPr>
          <w:sz w:val="18"/>
          <w:szCs w:val="18"/>
        </w:rPr>
        <w:t xml:space="preserve">REGISTRO DE PREÇOS DE </w:t>
      </w:r>
      <w:proofErr w:type="spellStart"/>
      <w:r w:rsidRPr="00544E84">
        <w:rPr>
          <w:sz w:val="18"/>
          <w:szCs w:val="18"/>
        </w:rPr>
        <w:t>NOTEBOOKs</w:t>
      </w:r>
      <w:proofErr w:type="spellEnd"/>
      <w:r w:rsidRPr="00544E84">
        <w:rPr>
          <w:sz w:val="18"/>
          <w:szCs w:val="18"/>
        </w:rPr>
        <w:t xml:space="preserve"> CORPORATIVOS</w:t>
      </w:r>
    </w:p>
    <w:p w14:paraId="0E2EFB84" w14:textId="77777777" w:rsidR="003918BA" w:rsidRPr="00151879" w:rsidRDefault="003918BA" w:rsidP="003918BA">
      <w:pPr>
        <w:tabs>
          <w:tab w:val="left" w:pos="0"/>
        </w:tabs>
        <w:ind w:firstLine="1134"/>
        <w:jc w:val="both"/>
        <w:rPr>
          <w:sz w:val="18"/>
          <w:szCs w:val="18"/>
        </w:rPr>
      </w:pPr>
    </w:p>
    <w:p w14:paraId="3B73BD50" w14:textId="77777777" w:rsidR="003918BA" w:rsidRPr="00151879" w:rsidRDefault="003918BA" w:rsidP="003918BA">
      <w:pPr>
        <w:ind w:right="55"/>
        <w:jc w:val="both"/>
        <w:rPr>
          <w:sz w:val="18"/>
          <w:szCs w:val="18"/>
        </w:rPr>
      </w:pPr>
      <w:r w:rsidRPr="00151879">
        <w:rPr>
          <w:sz w:val="18"/>
          <w:szCs w:val="18"/>
        </w:rPr>
        <w:t xml:space="preserve">Em ata datada de </w:t>
      </w:r>
      <w:r>
        <w:rPr>
          <w:sz w:val="18"/>
          <w:szCs w:val="18"/>
        </w:rPr>
        <w:t>15</w:t>
      </w:r>
      <w:r w:rsidRPr="00151879">
        <w:rPr>
          <w:sz w:val="18"/>
          <w:szCs w:val="18"/>
        </w:rPr>
        <w:t>/</w:t>
      </w:r>
      <w:r>
        <w:rPr>
          <w:sz w:val="18"/>
          <w:szCs w:val="18"/>
        </w:rPr>
        <w:t>03</w:t>
      </w:r>
      <w:r w:rsidRPr="00151879">
        <w:rPr>
          <w:sz w:val="18"/>
          <w:szCs w:val="18"/>
        </w:rPr>
        <w:t>/20</w:t>
      </w:r>
      <w:r>
        <w:rPr>
          <w:sz w:val="18"/>
          <w:szCs w:val="18"/>
        </w:rPr>
        <w:t>21</w:t>
      </w:r>
      <w:r w:rsidRPr="00151879">
        <w:rPr>
          <w:sz w:val="18"/>
          <w:szCs w:val="18"/>
        </w:rPr>
        <w:t xml:space="preserve">, o Pregoeiro e Equipe de Apoio procedera a realização da sessão referente ao Pregão </w:t>
      </w:r>
      <w:r>
        <w:rPr>
          <w:sz w:val="18"/>
          <w:szCs w:val="18"/>
        </w:rPr>
        <w:t>Eletrônico</w:t>
      </w:r>
      <w:r w:rsidRPr="00151879">
        <w:rPr>
          <w:sz w:val="18"/>
          <w:szCs w:val="18"/>
        </w:rPr>
        <w:t xml:space="preserve"> nº </w:t>
      </w:r>
      <w:r>
        <w:rPr>
          <w:sz w:val="18"/>
          <w:szCs w:val="18"/>
        </w:rPr>
        <w:t>0002</w:t>
      </w:r>
      <w:r w:rsidRPr="00151879">
        <w:rPr>
          <w:sz w:val="18"/>
          <w:szCs w:val="18"/>
        </w:rPr>
        <w:t>/20</w:t>
      </w:r>
      <w:r>
        <w:rPr>
          <w:sz w:val="18"/>
          <w:szCs w:val="18"/>
        </w:rPr>
        <w:t>21</w:t>
      </w:r>
      <w:r w:rsidRPr="00151879">
        <w:rPr>
          <w:sz w:val="18"/>
          <w:szCs w:val="18"/>
        </w:rPr>
        <w:t>, concluindo pela classificação da</w:t>
      </w:r>
      <w:r>
        <w:rPr>
          <w:sz w:val="18"/>
          <w:szCs w:val="18"/>
        </w:rPr>
        <w:t>s</w:t>
      </w:r>
      <w:r w:rsidRPr="00151879">
        <w:rPr>
          <w:sz w:val="18"/>
          <w:szCs w:val="18"/>
        </w:rPr>
        <w:t xml:space="preserve"> proposta</w:t>
      </w:r>
      <w:r>
        <w:rPr>
          <w:sz w:val="18"/>
          <w:szCs w:val="18"/>
        </w:rPr>
        <w:t>s</w:t>
      </w:r>
      <w:r w:rsidRPr="00151879">
        <w:rPr>
          <w:sz w:val="18"/>
          <w:szCs w:val="18"/>
        </w:rPr>
        <w:t xml:space="preserve"> e habilitação da</w:t>
      </w:r>
      <w:r>
        <w:rPr>
          <w:sz w:val="18"/>
          <w:szCs w:val="18"/>
        </w:rPr>
        <w:t>s</w:t>
      </w:r>
      <w:r w:rsidRPr="00151879">
        <w:rPr>
          <w:sz w:val="18"/>
          <w:szCs w:val="18"/>
        </w:rPr>
        <w:t xml:space="preserve"> licitante</w:t>
      </w:r>
      <w:r>
        <w:rPr>
          <w:sz w:val="18"/>
          <w:szCs w:val="18"/>
        </w:rPr>
        <w:t>s</w:t>
      </w:r>
      <w:r w:rsidRPr="00151879">
        <w:rPr>
          <w:sz w:val="18"/>
          <w:szCs w:val="18"/>
        </w:rPr>
        <w:t>.</w:t>
      </w:r>
    </w:p>
    <w:p w14:paraId="62326F0A" w14:textId="5843CFAE" w:rsidR="003918BA" w:rsidRDefault="003918BA" w:rsidP="003918BA">
      <w:pPr>
        <w:ind w:right="55"/>
        <w:jc w:val="both"/>
        <w:rPr>
          <w:sz w:val="18"/>
          <w:szCs w:val="18"/>
        </w:rPr>
      </w:pPr>
      <w:r w:rsidRPr="00151879">
        <w:rPr>
          <w:sz w:val="18"/>
          <w:szCs w:val="18"/>
        </w:rPr>
        <w:t xml:space="preserve">Diante do que dispõe o art. 43, Inciso VI da lei Federal nº 8.666/93 e de acordo com o Edital, considerando o Termo de Adjudicação e o Parecer da Assessoria Jurídica do Município, </w:t>
      </w:r>
      <w:r w:rsidRPr="00151879">
        <w:rPr>
          <w:b/>
          <w:sz w:val="18"/>
          <w:szCs w:val="18"/>
        </w:rPr>
        <w:t>HOMOLOGO</w:t>
      </w:r>
      <w:r w:rsidRPr="00151879">
        <w:rPr>
          <w:sz w:val="18"/>
          <w:szCs w:val="18"/>
        </w:rPr>
        <w:t xml:space="preserve"> a classificação final e </w:t>
      </w:r>
      <w:r w:rsidRPr="00151879">
        <w:rPr>
          <w:b/>
          <w:sz w:val="18"/>
          <w:szCs w:val="18"/>
        </w:rPr>
        <w:t>ADJUDICO</w:t>
      </w:r>
      <w:r w:rsidRPr="00151879">
        <w:rPr>
          <w:sz w:val="18"/>
          <w:szCs w:val="18"/>
        </w:rPr>
        <w:t xml:space="preserve"> o objeto do presente certame considerando vencedora</w:t>
      </w:r>
      <w:r>
        <w:rPr>
          <w:sz w:val="18"/>
          <w:szCs w:val="18"/>
        </w:rPr>
        <w:t>s</w:t>
      </w:r>
      <w:r w:rsidRPr="00151879">
        <w:rPr>
          <w:sz w:val="18"/>
          <w:szCs w:val="18"/>
        </w:rPr>
        <w:t xml:space="preserve"> a</w:t>
      </w:r>
      <w:r>
        <w:rPr>
          <w:sz w:val="18"/>
          <w:szCs w:val="18"/>
        </w:rPr>
        <w:t>s</w:t>
      </w:r>
      <w:r w:rsidRPr="00151879">
        <w:rPr>
          <w:sz w:val="18"/>
          <w:szCs w:val="18"/>
        </w:rPr>
        <w:t xml:space="preserve"> licitante</w:t>
      </w:r>
      <w:r>
        <w:rPr>
          <w:sz w:val="18"/>
          <w:szCs w:val="18"/>
        </w:rPr>
        <w:t>s</w:t>
      </w:r>
      <w:r w:rsidRPr="00151879">
        <w:rPr>
          <w:sz w:val="18"/>
          <w:szCs w:val="18"/>
        </w:rPr>
        <w:t xml:space="preserve"> a seguir, </w:t>
      </w:r>
      <w:r>
        <w:rPr>
          <w:sz w:val="18"/>
          <w:szCs w:val="18"/>
        </w:rPr>
        <w:t>nos itens</w:t>
      </w:r>
      <w:r w:rsidRPr="00151879">
        <w:rPr>
          <w:sz w:val="18"/>
          <w:szCs w:val="18"/>
        </w:rPr>
        <w:t xml:space="preserve"> e valores conforme segue:</w:t>
      </w: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851"/>
        <w:gridCol w:w="567"/>
        <w:gridCol w:w="3544"/>
        <w:gridCol w:w="1417"/>
        <w:gridCol w:w="1417"/>
        <w:gridCol w:w="1560"/>
      </w:tblGrid>
      <w:tr w:rsidR="005756C4" w:rsidRPr="00707A8B" w14:paraId="6E549603" w14:textId="77777777" w:rsidTr="00EB2EEF">
        <w:trPr>
          <w:cantSplit/>
          <w:trHeight w:val="195"/>
        </w:trPr>
        <w:tc>
          <w:tcPr>
            <w:tcW w:w="851" w:type="dxa"/>
            <w:vMerge w:val="restart"/>
            <w:tcBorders>
              <w:top w:val="single" w:sz="12" w:space="0" w:color="auto"/>
              <w:left w:val="single" w:sz="12" w:space="0" w:color="auto"/>
              <w:right w:val="single" w:sz="12" w:space="0" w:color="auto"/>
            </w:tcBorders>
          </w:tcPr>
          <w:p w14:paraId="2B1EF7AD" w14:textId="77777777" w:rsidR="005756C4" w:rsidRPr="00707A8B" w:rsidRDefault="005756C4" w:rsidP="00EB2EEF">
            <w:pPr>
              <w:jc w:val="center"/>
              <w:rPr>
                <w:rFonts w:ascii="Arial Narrow" w:hAnsi="Arial Narrow" w:cs="Arial"/>
                <w:b/>
                <w:sz w:val="20"/>
                <w:szCs w:val="20"/>
              </w:rPr>
            </w:pPr>
            <w:bookmarkStart w:id="0" w:name="_Hlk63776638"/>
            <w:r w:rsidRPr="00707A8B">
              <w:rPr>
                <w:rFonts w:ascii="Arial Narrow" w:hAnsi="Arial Narrow" w:cs="Arial"/>
                <w:b/>
                <w:sz w:val="20"/>
                <w:szCs w:val="20"/>
              </w:rPr>
              <w:t>ITEM</w:t>
            </w:r>
          </w:p>
        </w:tc>
        <w:tc>
          <w:tcPr>
            <w:tcW w:w="851" w:type="dxa"/>
            <w:vMerge w:val="restart"/>
            <w:tcBorders>
              <w:top w:val="single" w:sz="12" w:space="0" w:color="auto"/>
              <w:left w:val="single" w:sz="12" w:space="0" w:color="auto"/>
              <w:right w:val="single" w:sz="12" w:space="0" w:color="auto"/>
            </w:tcBorders>
          </w:tcPr>
          <w:p w14:paraId="5E1073E6" w14:textId="77777777" w:rsidR="005756C4" w:rsidRPr="00707A8B" w:rsidRDefault="005756C4" w:rsidP="00EB2EEF">
            <w:pPr>
              <w:jc w:val="center"/>
              <w:rPr>
                <w:rFonts w:ascii="Arial Narrow" w:hAnsi="Arial Narrow" w:cs="Arial"/>
                <w:b/>
                <w:sz w:val="20"/>
                <w:szCs w:val="20"/>
              </w:rPr>
            </w:pPr>
            <w:r w:rsidRPr="00707A8B">
              <w:rPr>
                <w:rFonts w:ascii="Arial Narrow" w:hAnsi="Arial Narrow" w:cs="Arial"/>
                <w:b/>
                <w:sz w:val="20"/>
                <w:szCs w:val="20"/>
              </w:rPr>
              <w:t>QUANT.</w:t>
            </w:r>
          </w:p>
        </w:tc>
        <w:tc>
          <w:tcPr>
            <w:tcW w:w="567" w:type="dxa"/>
            <w:vMerge w:val="restart"/>
            <w:tcBorders>
              <w:top w:val="single" w:sz="12" w:space="0" w:color="auto"/>
              <w:left w:val="single" w:sz="12" w:space="0" w:color="auto"/>
              <w:right w:val="single" w:sz="12" w:space="0" w:color="auto"/>
            </w:tcBorders>
          </w:tcPr>
          <w:p w14:paraId="383B2668" w14:textId="77777777" w:rsidR="005756C4" w:rsidRPr="00707A8B" w:rsidRDefault="005756C4" w:rsidP="00EB2EEF">
            <w:pPr>
              <w:jc w:val="center"/>
              <w:rPr>
                <w:rFonts w:ascii="Arial Narrow" w:hAnsi="Arial Narrow" w:cs="Arial"/>
                <w:b/>
                <w:sz w:val="20"/>
                <w:szCs w:val="20"/>
              </w:rPr>
            </w:pPr>
            <w:r w:rsidRPr="00707A8B">
              <w:rPr>
                <w:rFonts w:ascii="Arial Narrow" w:hAnsi="Arial Narrow" w:cs="Arial"/>
                <w:b/>
                <w:sz w:val="20"/>
                <w:szCs w:val="20"/>
              </w:rPr>
              <w:t>UN</w:t>
            </w:r>
          </w:p>
        </w:tc>
        <w:tc>
          <w:tcPr>
            <w:tcW w:w="3544" w:type="dxa"/>
            <w:vMerge w:val="restart"/>
            <w:tcBorders>
              <w:top w:val="single" w:sz="12" w:space="0" w:color="auto"/>
              <w:left w:val="single" w:sz="12" w:space="0" w:color="auto"/>
              <w:right w:val="single" w:sz="12" w:space="0" w:color="auto"/>
            </w:tcBorders>
          </w:tcPr>
          <w:p w14:paraId="503D342E" w14:textId="77777777" w:rsidR="005756C4" w:rsidRPr="00707A8B" w:rsidRDefault="005756C4" w:rsidP="00EB2EEF">
            <w:pPr>
              <w:jc w:val="center"/>
              <w:rPr>
                <w:rFonts w:ascii="Arial Narrow" w:hAnsi="Arial Narrow" w:cs="Arial"/>
                <w:sz w:val="20"/>
                <w:szCs w:val="20"/>
              </w:rPr>
            </w:pPr>
            <w:r w:rsidRPr="00707A8B">
              <w:rPr>
                <w:rFonts w:ascii="Arial Narrow" w:hAnsi="Arial Narrow" w:cs="Arial"/>
                <w:b/>
                <w:sz w:val="20"/>
                <w:szCs w:val="20"/>
              </w:rPr>
              <w:t>ESPECIFICAÇÃO</w:t>
            </w:r>
          </w:p>
        </w:tc>
        <w:tc>
          <w:tcPr>
            <w:tcW w:w="1417" w:type="dxa"/>
            <w:vMerge w:val="restart"/>
            <w:tcBorders>
              <w:top w:val="single" w:sz="12" w:space="0" w:color="auto"/>
              <w:left w:val="single" w:sz="12" w:space="0" w:color="auto"/>
              <w:right w:val="single" w:sz="12" w:space="0" w:color="auto"/>
            </w:tcBorders>
          </w:tcPr>
          <w:p w14:paraId="57079EBA" w14:textId="77777777" w:rsidR="005756C4" w:rsidRDefault="005756C4" w:rsidP="00EB2EEF">
            <w:pPr>
              <w:jc w:val="center"/>
              <w:rPr>
                <w:rFonts w:ascii="Arial Narrow" w:hAnsi="Arial Narrow" w:cs="Arial"/>
                <w:b/>
                <w:sz w:val="20"/>
                <w:szCs w:val="20"/>
              </w:rPr>
            </w:pPr>
            <w:r w:rsidRPr="001538FF">
              <w:rPr>
                <w:rFonts w:ascii="Arial Narrow" w:hAnsi="Arial Narrow" w:cs="Arial"/>
                <w:b/>
                <w:sz w:val="20"/>
                <w:szCs w:val="20"/>
              </w:rPr>
              <w:t>MARCA</w:t>
            </w:r>
          </w:p>
          <w:p w14:paraId="5A61337D" w14:textId="77777777" w:rsidR="005756C4" w:rsidRPr="00707A8B" w:rsidRDefault="005756C4" w:rsidP="00EB2EEF">
            <w:pPr>
              <w:jc w:val="center"/>
              <w:rPr>
                <w:rFonts w:ascii="Arial Narrow" w:hAnsi="Arial Narrow" w:cs="Arial"/>
                <w:sz w:val="20"/>
                <w:szCs w:val="20"/>
              </w:rPr>
            </w:pPr>
            <w:r w:rsidRPr="001538FF">
              <w:rPr>
                <w:rFonts w:ascii="Arial Narrow" w:hAnsi="Arial Narrow" w:cs="Arial"/>
                <w:b/>
                <w:sz w:val="20"/>
                <w:szCs w:val="20"/>
              </w:rPr>
              <w:t>MODELO</w:t>
            </w:r>
          </w:p>
        </w:tc>
        <w:tc>
          <w:tcPr>
            <w:tcW w:w="2977" w:type="dxa"/>
            <w:gridSpan w:val="2"/>
            <w:tcBorders>
              <w:top w:val="single" w:sz="12" w:space="0" w:color="auto"/>
              <w:left w:val="single" w:sz="12" w:space="0" w:color="auto"/>
              <w:bottom w:val="single" w:sz="12" w:space="0" w:color="000000"/>
              <w:right w:val="single" w:sz="12" w:space="0" w:color="auto"/>
            </w:tcBorders>
          </w:tcPr>
          <w:p w14:paraId="5E012E28" w14:textId="77777777" w:rsidR="005756C4" w:rsidRPr="00707A8B" w:rsidRDefault="005756C4" w:rsidP="00EB2EEF">
            <w:pPr>
              <w:jc w:val="center"/>
              <w:rPr>
                <w:rFonts w:ascii="Arial Narrow" w:hAnsi="Arial Narrow" w:cs="Arial"/>
                <w:b/>
                <w:sz w:val="20"/>
                <w:szCs w:val="20"/>
              </w:rPr>
            </w:pPr>
            <w:r w:rsidRPr="00707A8B">
              <w:rPr>
                <w:rFonts w:ascii="Arial Narrow" w:hAnsi="Arial Narrow" w:cs="Arial"/>
                <w:b/>
                <w:sz w:val="20"/>
                <w:szCs w:val="20"/>
              </w:rPr>
              <w:t>VALOR – R$</w:t>
            </w:r>
          </w:p>
        </w:tc>
      </w:tr>
      <w:tr w:rsidR="005756C4" w:rsidRPr="00707A8B" w14:paraId="5E63058C" w14:textId="77777777" w:rsidTr="00EB2EEF">
        <w:trPr>
          <w:cantSplit/>
          <w:trHeight w:val="195"/>
        </w:trPr>
        <w:tc>
          <w:tcPr>
            <w:tcW w:w="851" w:type="dxa"/>
            <w:vMerge/>
            <w:tcBorders>
              <w:left w:val="single" w:sz="12" w:space="0" w:color="auto"/>
              <w:bottom w:val="single" w:sz="4" w:space="0" w:color="auto"/>
              <w:right w:val="single" w:sz="12" w:space="0" w:color="auto"/>
            </w:tcBorders>
          </w:tcPr>
          <w:p w14:paraId="3E0BD6FE" w14:textId="77777777" w:rsidR="005756C4" w:rsidRPr="00707A8B" w:rsidRDefault="005756C4" w:rsidP="00EB2EEF">
            <w:pPr>
              <w:jc w:val="center"/>
              <w:rPr>
                <w:rFonts w:ascii="Arial Narrow" w:hAnsi="Arial Narrow" w:cs="Arial"/>
                <w:b/>
                <w:sz w:val="20"/>
                <w:szCs w:val="20"/>
              </w:rPr>
            </w:pPr>
          </w:p>
        </w:tc>
        <w:tc>
          <w:tcPr>
            <w:tcW w:w="851" w:type="dxa"/>
            <w:vMerge/>
            <w:tcBorders>
              <w:left w:val="single" w:sz="12" w:space="0" w:color="auto"/>
              <w:bottom w:val="single" w:sz="4" w:space="0" w:color="auto"/>
              <w:right w:val="single" w:sz="12" w:space="0" w:color="auto"/>
            </w:tcBorders>
          </w:tcPr>
          <w:p w14:paraId="6743A94F" w14:textId="77777777" w:rsidR="005756C4" w:rsidRPr="00707A8B" w:rsidRDefault="005756C4" w:rsidP="00EB2EEF">
            <w:pPr>
              <w:jc w:val="center"/>
              <w:rPr>
                <w:rFonts w:ascii="Arial Narrow" w:hAnsi="Arial Narrow" w:cs="Arial"/>
                <w:b/>
                <w:sz w:val="20"/>
                <w:szCs w:val="20"/>
              </w:rPr>
            </w:pPr>
          </w:p>
        </w:tc>
        <w:tc>
          <w:tcPr>
            <w:tcW w:w="567" w:type="dxa"/>
            <w:vMerge/>
            <w:tcBorders>
              <w:left w:val="single" w:sz="12" w:space="0" w:color="auto"/>
              <w:bottom w:val="single" w:sz="4" w:space="0" w:color="auto"/>
              <w:right w:val="single" w:sz="12" w:space="0" w:color="auto"/>
            </w:tcBorders>
          </w:tcPr>
          <w:p w14:paraId="29C33024" w14:textId="77777777" w:rsidR="005756C4" w:rsidRPr="00707A8B" w:rsidRDefault="005756C4" w:rsidP="00EB2EEF">
            <w:pPr>
              <w:jc w:val="center"/>
              <w:rPr>
                <w:rFonts w:ascii="Arial Narrow" w:hAnsi="Arial Narrow" w:cs="Arial"/>
                <w:b/>
                <w:sz w:val="20"/>
                <w:szCs w:val="20"/>
              </w:rPr>
            </w:pPr>
          </w:p>
        </w:tc>
        <w:tc>
          <w:tcPr>
            <w:tcW w:w="3544" w:type="dxa"/>
            <w:vMerge/>
            <w:tcBorders>
              <w:left w:val="single" w:sz="12" w:space="0" w:color="auto"/>
              <w:bottom w:val="single" w:sz="4" w:space="0" w:color="auto"/>
              <w:right w:val="single" w:sz="12" w:space="0" w:color="auto"/>
            </w:tcBorders>
          </w:tcPr>
          <w:p w14:paraId="401A92E5" w14:textId="77777777" w:rsidR="005756C4" w:rsidRPr="00707A8B" w:rsidRDefault="005756C4" w:rsidP="00EB2EEF">
            <w:pPr>
              <w:jc w:val="center"/>
              <w:rPr>
                <w:rFonts w:ascii="Arial Narrow" w:hAnsi="Arial Narrow" w:cs="Arial"/>
                <w:b/>
                <w:sz w:val="20"/>
                <w:szCs w:val="20"/>
              </w:rPr>
            </w:pPr>
          </w:p>
        </w:tc>
        <w:tc>
          <w:tcPr>
            <w:tcW w:w="1417" w:type="dxa"/>
            <w:vMerge/>
            <w:tcBorders>
              <w:left w:val="single" w:sz="12" w:space="0" w:color="auto"/>
              <w:bottom w:val="single" w:sz="4" w:space="0" w:color="auto"/>
              <w:right w:val="single" w:sz="12" w:space="0" w:color="auto"/>
            </w:tcBorders>
          </w:tcPr>
          <w:p w14:paraId="56822F69" w14:textId="77777777" w:rsidR="005756C4" w:rsidRPr="001538FF" w:rsidRDefault="005756C4" w:rsidP="00EB2EEF">
            <w:pPr>
              <w:jc w:val="center"/>
              <w:rPr>
                <w:rFonts w:ascii="Arial Narrow" w:hAnsi="Arial Narrow" w:cs="Arial"/>
                <w:b/>
                <w:sz w:val="20"/>
                <w:szCs w:val="20"/>
              </w:rPr>
            </w:pPr>
          </w:p>
        </w:tc>
        <w:tc>
          <w:tcPr>
            <w:tcW w:w="1417" w:type="dxa"/>
            <w:tcBorders>
              <w:top w:val="single" w:sz="12" w:space="0" w:color="000000"/>
              <w:left w:val="single" w:sz="12" w:space="0" w:color="auto"/>
              <w:bottom w:val="single" w:sz="4" w:space="0" w:color="auto"/>
              <w:right w:val="single" w:sz="12" w:space="0" w:color="000000"/>
            </w:tcBorders>
          </w:tcPr>
          <w:p w14:paraId="5B61AF47" w14:textId="77777777" w:rsidR="005756C4" w:rsidRPr="00707A8B" w:rsidRDefault="005756C4" w:rsidP="00EB2EEF">
            <w:pPr>
              <w:jc w:val="center"/>
              <w:rPr>
                <w:rFonts w:ascii="Arial Narrow" w:hAnsi="Arial Narrow" w:cs="Arial"/>
                <w:b/>
                <w:sz w:val="20"/>
                <w:szCs w:val="20"/>
              </w:rPr>
            </w:pPr>
            <w:r w:rsidRPr="00DF7F3D">
              <w:rPr>
                <w:rFonts w:ascii="Arial Narrow" w:hAnsi="Arial Narrow" w:cs="Arial"/>
                <w:b/>
                <w:sz w:val="16"/>
                <w:szCs w:val="16"/>
                <w:lang w:eastAsia="en-US"/>
              </w:rPr>
              <w:t>VALOR UNITÁRIO DE REFERÊNCIA – R$</w:t>
            </w:r>
          </w:p>
        </w:tc>
        <w:tc>
          <w:tcPr>
            <w:tcW w:w="1560" w:type="dxa"/>
            <w:tcBorders>
              <w:top w:val="single" w:sz="12" w:space="0" w:color="000000"/>
              <w:left w:val="single" w:sz="12" w:space="0" w:color="000000"/>
              <w:bottom w:val="single" w:sz="4" w:space="0" w:color="auto"/>
              <w:right w:val="single" w:sz="12" w:space="0" w:color="auto"/>
            </w:tcBorders>
          </w:tcPr>
          <w:p w14:paraId="4D8E125B" w14:textId="77777777" w:rsidR="005756C4" w:rsidRPr="00707A8B" w:rsidRDefault="005756C4" w:rsidP="00EB2EEF">
            <w:pPr>
              <w:jc w:val="center"/>
              <w:rPr>
                <w:rFonts w:ascii="Arial Narrow" w:hAnsi="Arial Narrow" w:cs="Arial"/>
                <w:b/>
                <w:sz w:val="20"/>
                <w:szCs w:val="20"/>
              </w:rPr>
            </w:pPr>
            <w:r w:rsidRPr="00DF7F3D">
              <w:rPr>
                <w:rFonts w:ascii="Arial Narrow" w:hAnsi="Arial Narrow" w:cs="Arial"/>
                <w:b/>
                <w:sz w:val="16"/>
                <w:szCs w:val="16"/>
                <w:lang w:eastAsia="en-US"/>
              </w:rPr>
              <w:t xml:space="preserve">VALOR </w:t>
            </w:r>
            <w:r>
              <w:rPr>
                <w:rFonts w:ascii="Arial Narrow" w:hAnsi="Arial Narrow" w:cs="Arial"/>
                <w:b/>
                <w:sz w:val="16"/>
                <w:szCs w:val="16"/>
                <w:lang w:eastAsia="en-US"/>
              </w:rPr>
              <w:t>TOTAL</w:t>
            </w:r>
            <w:r w:rsidRPr="00DF7F3D">
              <w:rPr>
                <w:rFonts w:ascii="Arial Narrow" w:hAnsi="Arial Narrow" w:cs="Arial"/>
                <w:b/>
                <w:sz w:val="16"/>
                <w:szCs w:val="16"/>
                <w:lang w:eastAsia="en-US"/>
              </w:rPr>
              <w:t xml:space="preserve"> DE REFERÊNCIA – R$</w:t>
            </w:r>
          </w:p>
        </w:tc>
      </w:tr>
      <w:tr w:rsidR="005756C4" w:rsidRPr="001538FF" w14:paraId="4B63652D" w14:textId="77777777" w:rsidTr="00EB2EEF">
        <w:trPr>
          <w:cantSplit/>
          <w:trHeight w:val="184"/>
        </w:trPr>
        <w:tc>
          <w:tcPr>
            <w:tcW w:w="851" w:type="dxa"/>
            <w:tcBorders>
              <w:top w:val="single" w:sz="12" w:space="0" w:color="auto"/>
              <w:left w:val="single" w:sz="12" w:space="0" w:color="auto"/>
              <w:bottom w:val="single" w:sz="12" w:space="0" w:color="auto"/>
              <w:right w:val="single" w:sz="12" w:space="0" w:color="auto"/>
            </w:tcBorders>
          </w:tcPr>
          <w:p w14:paraId="17D8B98F" w14:textId="77777777" w:rsidR="005756C4" w:rsidRPr="00553398" w:rsidRDefault="005756C4" w:rsidP="00EB2EEF">
            <w:pPr>
              <w:jc w:val="center"/>
              <w:rPr>
                <w:rFonts w:ascii="Arial Narrow" w:hAnsi="Arial Narrow" w:cs="Arial"/>
                <w:b/>
                <w:bCs/>
              </w:rPr>
            </w:pPr>
            <w:r w:rsidRPr="00553398">
              <w:rPr>
                <w:rFonts w:ascii="Arial Narrow" w:hAnsi="Arial Narrow" w:cs="Arial"/>
                <w:b/>
                <w:bCs/>
                <w:sz w:val="22"/>
                <w:szCs w:val="22"/>
              </w:rPr>
              <w:t>01</w:t>
            </w:r>
          </w:p>
        </w:tc>
        <w:tc>
          <w:tcPr>
            <w:tcW w:w="851" w:type="dxa"/>
            <w:tcBorders>
              <w:top w:val="single" w:sz="12" w:space="0" w:color="auto"/>
              <w:left w:val="single" w:sz="12" w:space="0" w:color="auto"/>
              <w:bottom w:val="single" w:sz="12" w:space="0" w:color="auto"/>
              <w:right w:val="single" w:sz="12" w:space="0" w:color="auto"/>
            </w:tcBorders>
          </w:tcPr>
          <w:p w14:paraId="7053536D" w14:textId="77777777" w:rsidR="005756C4" w:rsidRPr="00B52572" w:rsidRDefault="005756C4" w:rsidP="00EB2EEF">
            <w:pPr>
              <w:jc w:val="center"/>
              <w:rPr>
                <w:rFonts w:ascii="Arial Narrow" w:hAnsi="Arial Narrow" w:cs="Arial"/>
                <w:b/>
              </w:rPr>
            </w:pPr>
            <w:r>
              <w:rPr>
                <w:rFonts w:ascii="Arial Narrow" w:hAnsi="Arial Narrow" w:cs="Arial"/>
                <w:b/>
                <w:sz w:val="22"/>
                <w:szCs w:val="22"/>
              </w:rPr>
              <w:t>50</w:t>
            </w:r>
          </w:p>
        </w:tc>
        <w:tc>
          <w:tcPr>
            <w:tcW w:w="567" w:type="dxa"/>
            <w:tcBorders>
              <w:top w:val="single" w:sz="12" w:space="0" w:color="auto"/>
              <w:left w:val="single" w:sz="12" w:space="0" w:color="auto"/>
              <w:bottom w:val="single" w:sz="12" w:space="0" w:color="auto"/>
              <w:right w:val="single" w:sz="12" w:space="0" w:color="auto"/>
            </w:tcBorders>
          </w:tcPr>
          <w:p w14:paraId="47B46A71" w14:textId="77777777" w:rsidR="005756C4" w:rsidRPr="00B52572" w:rsidRDefault="005756C4" w:rsidP="00EB2EEF">
            <w:pPr>
              <w:jc w:val="center"/>
              <w:rPr>
                <w:rFonts w:ascii="Arial Narrow" w:hAnsi="Arial Narrow" w:cs="Arial"/>
              </w:rPr>
            </w:pPr>
            <w:proofErr w:type="spellStart"/>
            <w:r w:rsidRPr="00B52572">
              <w:rPr>
                <w:rFonts w:ascii="Arial Narrow" w:hAnsi="Arial Narrow" w:cs="Arial"/>
                <w:sz w:val="22"/>
                <w:szCs w:val="22"/>
              </w:rPr>
              <w:t>un</w:t>
            </w:r>
            <w:proofErr w:type="spellEnd"/>
          </w:p>
        </w:tc>
        <w:tc>
          <w:tcPr>
            <w:tcW w:w="3544" w:type="dxa"/>
            <w:tcBorders>
              <w:top w:val="single" w:sz="12" w:space="0" w:color="auto"/>
              <w:left w:val="single" w:sz="12" w:space="0" w:color="auto"/>
              <w:bottom w:val="single" w:sz="12" w:space="0" w:color="auto"/>
              <w:right w:val="single" w:sz="12" w:space="0" w:color="auto"/>
            </w:tcBorders>
          </w:tcPr>
          <w:p w14:paraId="6F6455FA" w14:textId="77777777" w:rsidR="005756C4" w:rsidRPr="00B52572" w:rsidRDefault="005756C4" w:rsidP="00EB2EEF">
            <w:pPr>
              <w:pStyle w:val="SemEspaamento"/>
              <w:jc w:val="both"/>
              <w:rPr>
                <w:rFonts w:ascii="Arial Narrow" w:hAnsi="Arial Narrow" w:cs="Arial"/>
              </w:rPr>
            </w:pPr>
            <w:r w:rsidRPr="00B52572">
              <w:rPr>
                <w:rFonts w:ascii="Arial Narrow" w:hAnsi="Arial Narrow" w:cs="Arial"/>
                <w:b/>
              </w:rPr>
              <w:t>NOTEBOOK EDUCACIONAL NOVO</w:t>
            </w:r>
            <w:r w:rsidRPr="00B52572">
              <w:rPr>
                <w:rFonts w:ascii="Arial Narrow" w:hAnsi="Arial Narrow" w:cs="Arial"/>
              </w:rPr>
              <w:t>, conforme descrição técnica a seguir</w:t>
            </w:r>
            <w:r>
              <w:rPr>
                <w:rFonts w:ascii="Arial Narrow" w:hAnsi="Arial Narrow" w:cs="Arial"/>
              </w:rPr>
              <w:t>:</w:t>
            </w:r>
          </w:p>
        </w:tc>
        <w:tc>
          <w:tcPr>
            <w:tcW w:w="1417" w:type="dxa"/>
            <w:tcBorders>
              <w:top w:val="single" w:sz="12" w:space="0" w:color="auto"/>
              <w:left w:val="single" w:sz="12" w:space="0" w:color="auto"/>
              <w:bottom w:val="single" w:sz="12" w:space="0" w:color="auto"/>
              <w:right w:val="single" w:sz="12" w:space="0" w:color="auto"/>
            </w:tcBorders>
          </w:tcPr>
          <w:p w14:paraId="378BA1E6" w14:textId="77777777" w:rsidR="005756C4" w:rsidRPr="00544E84" w:rsidRDefault="005756C4" w:rsidP="005756C4">
            <w:pPr>
              <w:jc w:val="center"/>
              <w:rPr>
                <w:sz w:val="18"/>
                <w:szCs w:val="18"/>
              </w:rPr>
            </w:pPr>
            <w:r w:rsidRPr="00544E84">
              <w:rPr>
                <w:sz w:val="18"/>
                <w:szCs w:val="18"/>
              </w:rPr>
              <w:t>Lenovo</w:t>
            </w:r>
          </w:p>
          <w:p w14:paraId="77434B5B" w14:textId="02CEBD2A" w:rsidR="005756C4" w:rsidRPr="00B52572" w:rsidRDefault="005756C4" w:rsidP="005756C4">
            <w:pPr>
              <w:pStyle w:val="Subttulo"/>
              <w:ind w:firstLine="0"/>
              <w:jc w:val="center"/>
              <w:rPr>
                <w:rFonts w:ascii="Arial Narrow" w:hAnsi="Arial Narrow" w:cs="Arial"/>
                <w:szCs w:val="22"/>
              </w:rPr>
            </w:pPr>
            <w:proofErr w:type="spellStart"/>
            <w:r w:rsidRPr="00544E84">
              <w:rPr>
                <w:sz w:val="18"/>
                <w:szCs w:val="18"/>
              </w:rPr>
              <w:t>ThinkPad</w:t>
            </w:r>
            <w:proofErr w:type="spellEnd"/>
            <w:r w:rsidRPr="00544E84">
              <w:rPr>
                <w:sz w:val="18"/>
                <w:szCs w:val="18"/>
              </w:rPr>
              <w:t xml:space="preserve"> E14 AMD GEN2 PN:20T7000CTO</w:t>
            </w:r>
          </w:p>
        </w:tc>
        <w:tc>
          <w:tcPr>
            <w:tcW w:w="1417" w:type="dxa"/>
            <w:tcBorders>
              <w:top w:val="single" w:sz="12" w:space="0" w:color="auto"/>
              <w:left w:val="single" w:sz="12" w:space="0" w:color="auto"/>
              <w:bottom w:val="single" w:sz="12" w:space="0" w:color="auto"/>
              <w:right w:val="single" w:sz="12" w:space="0" w:color="000000"/>
            </w:tcBorders>
          </w:tcPr>
          <w:p w14:paraId="6BAEE5DB" w14:textId="77777777" w:rsidR="005756C4" w:rsidRPr="00B52572" w:rsidRDefault="005756C4" w:rsidP="00EB2EEF">
            <w:pPr>
              <w:jc w:val="right"/>
              <w:rPr>
                <w:rFonts w:ascii="Arial Narrow" w:hAnsi="Arial Narrow" w:cs="Arial"/>
              </w:rPr>
            </w:pPr>
            <w:r>
              <w:rPr>
                <w:rFonts w:ascii="Arial Narrow" w:hAnsi="Arial Narrow" w:cs="Arial"/>
                <w:sz w:val="22"/>
                <w:szCs w:val="22"/>
              </w:rPr>
              <w:t>5.476,00</w:t>
            </w:r>
          </w:p>
        </w:tc>
        <w:tc>
          <w:tcPr>
            <w:tcW w:w="1560" w:type="dxa"/>
            <w:tcBorders>
              <w:top w:val="single" w:sz="12" w:space="0" w:color="auto"/>
              <w:left w:val="single" w:sz="12" w:space="0" w:color="000000"/>
              <w:bottom w:val="single" w:sz="12" w:space="0" w:color="auto"/>
              <w:right w:val="single" w:sz="12" w:space="0" w:color="auto"/>
            </w:tcBorders>
          </w:tcPr>
          <w:p w14:paraId="2FB4EFE1" w14:textId="77777777" w:rsidR="005756C4" w:rsidRPr="00B52572" w:rsidRDefault="005756C4" w:rsidP="00EB2EEF">
            <w:pPr>
              <w:jc w:val="right"/>
              <w:rPr>
                <w:rFonts w:ascii="Arial Narrow" w:hAnsi="Arial Narrow" w:cs="Arial"/>
              </w:rPr>
            </w:pPr>
            <w:r>
              <w:rPr>
                <w:rFonts w:ascii="Arial Narrow" w:hAnsi="Arial Narrow" w:cs="Arial"/>
                <w:sz w:val="22"/>
                <w:szCs w:val="22"/>
              </w:rPr>
              <w:t>273.800,00</w:t>
            </w:r>
          </w:p>
        </w:tc>
      </w:tr>
    </w:tbl>
    <w:tbl>
      <w:tblPr>
        <w:tblStyle w:val="Tabelacomgrade"/>
        <w:tblW w:w="10207" w:type="dxa"/>
        <w:tblInd w:w="-34" w:type="dxa"/>
        <w:tblLayout w:type="fixed"/>
        <w:tblLook w:val="04A0" w:firstRow="1" w:lastRow="0" w:firstColumn="1" w:lastColumn="0" w:noHBand="0" w:noVBand="1"/>
      </w:tblPr>
      <w:tblGrid>
        <w:gridCol w:w="2269"/>
        <w:gridCol w:w="7938"/>
      </w:tblGrid>
      <w:tr w:rsidR="005756C4" w:rsidRPr="00553398" w14:paraId="1B77B27B" w14:textId="77777777" w:rsidTr="00EB2EEF">
        <w:tc>
          <w:tcPr>
            <w:tcW w:w="2269" w:type="dxa"/>
            <w:tcBorders>
              <w:left w:val="single" w:sz="12" w:space="0" w:color="auto"/>
              <w:bottom w:val="single" w:sz="12" w:space="0" w:color="auto"/>
              <w:right w:val="single" w:sz="12" w:space="0" w:color="auto"/>
            </w:tcBorders>
          </w:tcPr>
          <w:p w14:paraId="3F2D5267"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Processador</w:t>
            </w:r>
          </w:p>
        </w:tc>
        <w:tc>
          <w:tcPr>
            <w:tcW w:w="7938" w:type="dxa"/>
            <w:tcBorders>
              <w:left w:val="single" w:sz="12" w:space="0" w:color="auto"/>
              <w:bottom w:val="single" w:sz="12" w:space="0" w:color="auto"/>
              <w:right w:val="single" w:sz="12" w:space="0" w:color="auto"/>
            </w:tcBorders>
          </w:tcPr>
          <w:p w14:paraId="48BF1834"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Processador de 64 bits, família móvel com litografia máxima de 14</w:t>
            </w:r>
            <w:r>
              <w:rPr>
                <w:rFonts w:ascii="Arial Narrow" w:hAnsi="Arial Narrow"/>
                <w:sz w:val="20"/>
                <w:szCs w:val="20"/>
              </w:rPr>
              <w:t>m</w:t>
            </w:r>
            <w:r w:rsidRPr="00553398">
              <w:rPr>
                <w:rFonts w:ascii="Arial Narrow" w:hAnsi="Arial Narrow"/>
                <w:sz w:val="20"/>
                <w:szCs w:val="20"/>
              </w:rPr>
              <w:t>m.</w:t>
            </w:r>
          </w:p>
          <w:p w14:paraId="6610541C"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2 núcleos físicos e 4 threads, frequência de operação nominal mínima de 2.1Ghz, com pelo menos 4 MB de cache, suportar tecnologias de Turbo </w:t>
            </w:r>
            <w:proofErr w:type="spellStart"/>
            <w:r w:rsidRPr="00553398">
              <w:rPr>
                <w:rFonts w:ascii="Arial Narrow" w:hAnsi="Arial Narrow"/>
                <w:sz w:val="20"/>
                <w:szCs w:val="20"/>
              </w:rPr>
              <w:t>Boost</w:t>
            </w:r>
            <w:proofErr w:type="spellEnd"/>
            <w:r w:rsidRPr="00553398">
              <w:rPr>
                <w:rFonts w:ascii="Arial Narrow" w:hAnsi="Arial Narrow"/>
                <w:sz w:val="20"/>
                <w:szCs w:val="20"/>
              </w:rPr>
              <w:t xml:space="preserve"> ou Turbo Core e de </w:t>
            </w:r>
            <w:proofErr w:type="spellStart"/>
            <w:r w:rsidRPr="00553398">
              <w:rPr>
                <w:rFonts w:ascii="Arial Narrow" w:hAnsi="Arial Narrow"/>
                <w:sz w:val="20"/>
                <w:szCs w:val="20"/>
              </w:rPr>
              <w:t>virtualização.Para</w:t>
            </w:r>
            <w:proofErr w:type="spellEnd"/>
            <w:r w:rsidRPr="00553398">
              <w:rPr>
                <w:rFonts w:ascii="Arial Narrow" w:hAnsi="Arial Narrow"/>
                <w:sz w:val="20"/>
                <w:szCs w:val="20"/>
              </w:rPr>
              <w:t xml:space="preserve"> efeitos de referência, foi utilizado o processador </w:t>
            </w:r>
            <w:r w:rsidRPr="00553398">
              <w:rPr>
                <w:rFonts w:ascii="Arial Narrow" w:hAnsi="Arial Narrow"/>
                <w:b/>
                <w:sz w:val="20"/>
                <w:szCs w:val="20"/>
              </w:rPr>
              <w:t>Intel Core I3-10110u</w:t>
            </w:r>
            <w:r w:rsidRPr="00553398">
              <w:rPr>
                <w:rFonts w:ascii="Arial Narrow" w:hAnsi="Arial Narrow"/>
                <w:sz w:val="20"/>
                <w:szCs w:val="20"/>
              </w:rPr>
              <w:t xml:space="preserve">, mas serão aceitos outros processadores, de características técnicas diferentes, de performance igual ou superior, desde que, sejam do mesmo ano de lançamento ou mais recente, auferidos pelo </w:t>
            </w:r>
            <w:proofErr w:type="spellStart"/>
            <w:r w:rsidRPr="00553398">
              <w:rPr>
                <w:rFonts w:ascii="Arial Narrow" w:hAnsi="Arial Narrow"/>
                <w:sz w:val="20"/>
                <w:szCs w:val="20"/>
              </w:rPr>
              <w:t>Passmark</w:t>
            </w:r>
            <w:proofErr w:type="spellEnd"/>
            <w:r w:rsidRPr="00553398">
              <w:rPr>
                <w:rFonts w:ascii="Arial Narrow" w:hAnsi="Arial Narrow"/>
                <w:sz w:val="20"/>
                <w:szCs w:val="20"/>
              </w:rPr>
              <w:t xml:space="preserve"> versão 10; o desempenho será comprovado por intermédio de resultados de </w:t>
            </w:r>
            <w:proofErr w:type="spellStart"/>
            <w:r w:rsidRPr="00553398">
              <w:rPr>
                <w:rFonts w:ascii="Arial Narrow" w:hAnsi="Arial Narrow"/>
                <w:sz w:val="20"/>
                <w:szCs w:val="20"/>
              </w:rPr>
              <w:t>BenchMark</w:t>
            </w:r>
            <w:proofErr w:type="spellEnd"/>
            <w:r w:rsidRPr="00553398">
              <w:rPr>
                <w:rFonts w:ascii="Arial Narrow" w:hAnsi="Arial Narrow"/>
                <w:sz w:val="20"/>
                <w:szCs w:val="20"/>
              </w:rPr>
              <w:t xml:space="preserve">, disponíveis em: </w:t>
            </w:r>
            <w:hyperlink r:id="rId8" w:history="1">
              <w:r w:rsidRPr="00553398">
                <w:rPr>
                  <w:rStyle w:val="Hyperlink"/>
                  <w:rFonts w:ascii="Arial Narrow" w:hAnsi="Arial Narrow"/>
                  <w:sz w:val="20"/>
                  <w:szCs w:val="20"/>
                </w:rPr>
                <w:t>http://www.cpubenchmark.net/cpu_list.php</w:t>
              </w:r>
            </w:hyperlink>
            <w:r w:rsidRPr="00553398">
              <w:rPr>
                <w:rFonts w:ascii="Arial Narrow" w:hAnsi="Arial Narrow"/>
                <w:sz w:val="20"/>
                <w:szCs w:val="20"/>
              </w:rPr>
              <w:t>; é obrigatório informar o modelo do processador ofertado.</w:t>
            </w:r>
          </w:p>
        </w:tc>
      </w:tr>
      <w:tr w:rsidR="005756C4" w:rsidRPr="00553398" w14:paraId="0B9E80EF" w14:textId="77777777" w:rsidTr="00EB2EEF">
        <w:tc>
          <w:tcPr>
            <w:tcW w:w="2269" w:type="dxa"/>
            <w:tcBorders>
              <w:top w:val="single" w:sz="12" w:space="0" w:color="auto"/>
              <w:left w:val="single" w:sz="12" w:space="0" w:color="auto"/>
              <w:bottom w:val="single" w:sz="12" w:space="0" w:color="auto"/>
              <w:right w:val="single" w:sz="12" w:space="0" w:color="auto"/>
            </w:tcBorders>
          </w:tcPr>
          <w:p w14:paraId="5A06D945"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PLACA MÃE</w:t>
            </w:r>
          </w:p>
        </w:tc>
        <w:tc>
          <w:tcPr>
            <w:tcW w:w="7938" w:type="dxa"/>
            <w:tcBorders>
              <w:top w:val="single" w:sz="12" w:space="0" w:color="auto"/>
              <w:left w:val="single" w:sz="12" w:space="0" w:color="auto"/>
              <w:bottom w:val="single" w:sz="12" w:space="0" w:color="auto"/>
              <w:right w:val="single" w:sz="12" w:space="0" w:color="auto"/>
            </w:tcBorders>
          </w:tcPr>
          <w:p w14:paraId="53CA1BEF" w14:textId="77777777" w:rsidR="005756C4" w:rsidRPr="0054690A" w:rsidRDefault="005756C4" w:rsidP="00EB2EEF">
            <w:pPr>
              <w:jc w:val="both"/>
              <w:rPr>
                <w:rFonts w:ascii="Arial Narrow" w:hAnsi="Arial Narrow"/>
                <w:b/>
                <w:sz w:val="20"/>
                <w:szCs w:val="20"/>
              </w:rPr>
            </w:pPr>
            <w:r w:rsidRPr="00553398">
              <w:rPr>
                <w:rFonts w:ascii="Arial Narrow" w:hAnsi="Arial Narrow"/>
                <w:sz w:val="20"/>
                <w:szCs w:val="20"/>
              </w:rPr>
              <w:t xml:space="preserve">Deverá ser do mesmo fabricante do microcomputador, ou fabricada sob sua especificação para uso exclusivo, não sendo aceito o emprego de placas mãe de livre comercialização no </w:t>
            </w:r>
            <w:proofErr w:type="spellStart"/>
            <w:proofErr w:type="gramStart"/>
            <w:r w:rsidRPr="00553398">
              <w:rPr>
                <w:rFonts w:ascii="Arial Narrow" w:hAnsi="Arial Narrow"/>
                <w:sz w:val="20"/>
                <w:szCs w:val="20"/>
              </w:rPr>
              <w:t>mercado.Deverá</w:t>
            </w:r>
            <w:proofErr w:type="spellEnd"/>
            <w:proofErr w:type="gramEnd"/>
            <w:r w:rsidRPr="00553398">
              <w:rPr>
                <w:rFonts w:ascii="Arial Narrow" w:hAnsi="Arial Narrow"/>
                <w:sz w:val="20"/>
                <w:szCs w:val="20"/>
              </w:rPr>
              <w:t xml:space="preserve"> possuir dispositivo de segurança compatível com o TPM 2.0 </w:t>
            </w:r>
            <w:proofErr w:type="spellStart"/>
            <w:r w:rsidRPr="00553398">
              <w:rPr>
                <w:rFonts w:ascii="Arial Narrow" w:hAnsi="Arial Narrow"/>
                <w:sz w:val="20"/>
                <w:szCs w:val="20"/>
              </w:rPr>
              <w:t>integrado.Suportar</w:t>
            </w:r>
            <w:proofErr w:type="spellEnd"/>
            <w:r w:rsidRPr="00553398">
              <w:rPr>
                <w:rFonts w:ascii="Arial Narrow" w:hAnsi="Arial Narrow"/>
                <w:sz w:val="20"/>
                <w:szCs w:val="20"/>
              </w:rPr>
              <w:t xml:space="preserve"> o uso de duas unidades de disco. Seja por uso de unidades de 2,5 polegadas ou M.2;</w:t>
            </w:r>
          </w:p>
        </w:tc>
      </w:tr>
      <w:tr w:rsidR="005756C4" w:rsidRPr="00553398" w14:paraId="5CDAA347" w14:textId="77777777" w:rsidTr="00EB2EEF">
        <w:tc>
          <w:tcPr>
            <w:tcW w:w="2269" w:type="dxa"/>
            <w:tcBorders>
              <w:top w:val="single" w:sz="12" w:space="0" w:color="auto"/>
              <w:left w:val="single" w:sz="12" w:space="0" w:color="auto"/>
              <w:bottom w:val="single" w:sz="12" w:space="0" w:color="auto"/>
              <w:right w:val="single" w:sz="12" w:space="0" w:color="auto"/>
            </w:tcBorders>
          </w:tcPr>
          <w:p w14:paraId="5AC513E2"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BIOS</w:t>
            </w:r>
          </w:p>
        </w:tc>
        <w:tc>
          <w:tcPr>
            <w:tcW w:w="7938" w:type="dxa"/>
            <w:tcBorders>
              <w:top w:val="single" w:sz="12" w:space="0" w:color="auto"/>
              <w:left w:val="single" w:sz="12" w:space="0" w:color="auto"/>
              <w:bottom w:val="single" w:sz="12" w:space="0" w:color="auto"/>
              <w:right w:val="single" w:sz="12" w:space="0" w:color="auto"/>
            </w:tcBorders>
          </w:tcPr>
          <w:p w14:paraId="5598B4BE"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BIOS residente em flash rom. Totalmente compatível com o padrão UEFI.Com suporte a plug-</w:t>
            </w:r>
            <w:proofErr w:type="spellStart"/>
            <w:r w:rsidRPr="00553398">
              <w:rPr>
                <w:rFonts w:ascii="Arial Narrow" w:hAnsi="Arial Narrow"/>
                <w:sz w:val="20"/>
                <w:szCs w:val="20"/>
              </w:rPr>
              <w:t>and</w:t>
            </w:r>
            <w:proofErr w:type="spellEnd"/>
            <w:r w:rsidRPr="00553398">
              <w:rPr>
                <w:rFonts w:ascii="Arial Narrow" w:hAnsi="Arial Narrow"/>
                <w:sz w:val="20"/>
                <w:szCs w:val="20"/>
              </w:rPr>
              <w:t xml:space="preserve">-play e atualizável por software, tipo Flash EPROM, sendo que o processo de atualização pode ser obtido, através do sítio do fabricante do equipamento na </w:t>
            </w:r>
            <w:proofErr w:type="spellStart"/>
            <w:r w:rsidRPr="00553398">
              <w:rPr>
                <w:rFonts w:ascii="Arial Narrow" w:hAnsi="Arial Narrow"/>
                <w:sz w:val="20"/>
                <w:szCs w:val="20"/>
              </w:rPr>
              <w:t>Internet.Possibilitar</w:t>
            </w:r>
            <w:proofErr w:type="spellEnd"/>
            <w:r w:rsidRPr="00553398">
              <w:rPr>
                <w:rFonts w:ascii="Arial Narrow" w:hAnsi="Arial Narrow"/>
                <w:sz w:val="20"/>
                <w:szCs w:val="20"/>
              </w:rPr>
              <w:t xml:space="preserve"> a inserção de código de identificação do equipamento (número de registro patrimonial), recuperável por software de </w:t>
            </w:r>
            <w:proofErr w:type="spellStart"/>
            <w:r w:rsidRPr="00553398">
              <w:rPr>
                <w:rFonts w:ascii="Arial Narrow" w:hAnsi="Arial Narrow"/>
                <w:sz w:val="20"/>
                <w:szCs w:val="20"/>
              </w:rPr>
              <w:t>gerenciamento.Deverá</w:t>
            </w:r>
            <w:proofErr w:type="spellEnd"/>
            <w:r w:rsidRPr="00553398">
              <w:rPr>
                <w:rFonts w:ascii="Arial Narrow" w:hAnsi="Arial Narrow"/>
                <w:sz w:val="20"/>
                <w:szCs w:val="20"/>
              </w:rPr>
              <w:t xml:space="preserve"> permitir configurar senhas para, no mínimo, Power-</w:t>
            </w:r>
            <w:proofErr w:type="spellStart"/>
            <w:r w:rsidRPr="00553398">
              <w:rPr>
                <w:rFonts w:ascii="Arial Narrow" w:hAnsi="Arial Narrow"/>
                <w:sz w:val="20"/>
                <w:szCs w:val="20"/>
              </w:rPr>
              <w:t>on</w:t>
            </w:r>
            <w:proofErr w:type="spellEnd"/>
            <w:r w:rsidRPr="00553398">
              <w:rPr>
                <w:rFonts w:ascii="Arial Narrow" w:hAnsi="Arial Narrow"/>
                <w:sz w:val="20"/>
                <w:szCs w:val="20"/>
              </w:rPr>
              <w:t xml:space="preserve"> e Disco Rígido (HDD) e acesso à configuração do equipamento (Setup).As atualizações da BIOS, quando disponibilizadas, serão no site do fabricante do </w:t>
            </w:r>
            <w:proofErr w:type="spellStart"/>
            <w:r w:rsidRPr="00553398">
              <w:rPr>
                <w:rFonts w:ascii="Arial Narrow" w:hAnsi="Arial Narrow"/>
                <w:sz w:val="20"/>
                <w:szCs w:val="20"/>
              </w:rPr>
              <w:t>equipamento.Permitir</w:t>
            </w:r>
            <w:proofErr w:type="spellEnd"/>
            <w:r w:rsidRPr="00553398">
              <w:rPr>
                <w:rFonts w:ascii="Arial Narrow" w:hAnsi="Arial Narrow"/>
                <w:sz w:val="20"/>
                <w:szCs w:val="20"/>
              </w:rPr>
              <w:t xml:space="preserve"> criação de um </w:t>
            </w:r>
            <w:proofErr w:type="spellStart"/>
            <w:r w:rsidRPr="00553398">
              <w:rPr>
                <w:rFonts w:ascii="Arial Narrow" w:hAnsi="Arial Narrow"/>
                <w:sz w:val="20"/>
                <w:szCs w:val="20"/>
              </w:rPr>
              <w:t>pendrive</w:t>
            </w:r>
            <w:proofErr w:type="spellEnd"/>
            <w:r w:rsidRPr="00553398">
              <w:rPr>
                <w:rFonts w:ascii="Arial Narrow" w:hAnsi="Arial Narrow"/>
                <w:sz w:val="20"/>
                <w:szCs w:val="20"/>
              </w:rPr>
              <w:t xml:space="preserve"> de recuperação da BIOS.</w:t>
            </w:r>
          </w:p>
          <w:p w14:paraId="5E5ACF96"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Visando as questões de segurança e integridade da BIOS, essa deverá estar em conformidade com as normativas NIST 800-147 e NIST-800-88;O fabricante deve ser registrado na "</w:t>
            </w:r>
            <w:proofErr w:type="spellStart"/>
            <w:r w:rsidRPr="00553398">
              <w:rPr>
                <w:rFonts w:ascii="Arial Narrow" w:hAnsi="Arial Narrow"/>
                <w:sz w:val="20"/>
                <w:szCs w:val="20"/>
              </w:rPr>
              <w:t>Membership</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List</w:t>
            </w:r>
            <w:proofErr w:type="spellEnd"/>
            <w:r w:rsidRPr="00553398">
              <w:rPr>
                <w:rFonts w:ascii="Arial Narrow" w:hAnsi="Arial Narrow"/>
                <w:sz w:val="20"/>
                <w:szCs w:val="20"/>
              </w:rPr>
              <w:t xml:space="preserve">" do </w:t>
            </w:r>
            <w:proofErr w:type="spellStart"/>
            <w:r w:rsidRPr="00553398">
              <w:rPr>
                <w:rFonts w:ascii="Arial Narrow" w:hAnsi="Arial Narrow"/>
                <w:sz w:val="20"/>
                <w:szCs w:val="20"/>
              </w:rPr>
              <w:t>Unified</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Extensible</w:t>
            </w:r>
            <w:proofErr w:type="spellEnd"/>
            <w:r w:rsidRPr="00553398">
              <w:rPr>
                <w:rFonts w:ascii="Arial Narrow" w:hAnsi="Arial Narrow"/>
                <w:sz w:val="20"/>
                <w:szCs w:val="20"/>
              </w:rPr>
              <w:t xml:space="preserve"> Firmware Interface Fórum, acessível pelo website </w:t>
            </w:r>
            <w:hyperlink r:id="rId9" w:history="1">
              <w:r w:rsidRPr="00553398">
                <w:rPr>
                  <w:rStyle w:val="Hyperlink"/>
                  <w:rFonts w:ascii="Arial Narrow" w:hAnsi="Arial Narrow"/>
                  <w:sz w:val="20"/>
                  <w:szCs w:val="20"/>
                </w:rPr>
                <w:t>www.uefi.org/members</w:t>
              </w:r>
            </w:hyperlink>
            <w:r w:rsidRPr="00553398">
              <w:rPr>
                <w:rFonts w:ascii="Arial Narrow" w:hAnsi="Arial Narrow"/>
                <w:sz w:val="20"/>
                <w:szCs w:val="20"/>
              </w:rPr>
              <w:t>, estando na categoria “Promoters”, de forma a atestar que os seus equipamentos estão em conformidade com a especificação UEFI 2.x ou superior.</w:t>
            </w:r>
          </w:p>
        </w:tc>
      </w:tr>
      <w:tr w:rsidR="005756C4" w:rsidRPr="00553398" w14:paraId="356C23E5" w14:textId="77777777" w:rsidTr="00EB2EEF">
        <w:tc>
          <w:tcPr>
            <w:tcW w:w="2269" w:type="dxa"/>
            <w:tcBorders>
              <w:top w:val="single" w:sz="12" w:space="0" w:color="auto"/>
              <w:left w:val="single" w:sz="12" w:space="0" w:color="auto"/>
              <w:bottom w:val="single" w:sz="12" w:space="0" w:color="auto"/>
              <w:right w:val="single" w:sz="12" w:space="0" w:color="auto"/>
            </w:tcBorders>
          </w:tcPr>
          <w:p w14:paraId="4AB6C950"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Memória</w:t>
            </w:r>
          </w:p>
        </w:tc>
        <w:tc>
          <w:tcPr>
            <w:tcW w:w="7938" w:type="dxa"/>
            <w:tcBorders>
              <w:top w:val="single" w:sz="12" w:space="0" w:color="auto"/>
              <w:left w:val="single" w:sz="12" w:space="0" w:color="auto"/>
              <w:bottom w:val="single" w:sz="12" w:space="0" w:color="auto"/>
              <w:right w:val="single" w:sz="12" w:space="0" w:color="auto"/>
            </w:tcBorders>
          </w:tcPr>
          <w:p w14:paraId="6155D8D4" w14:textId="77777777" w:rsidR="005756C4" w:rsidRPr="005D402D" w:rsidRDefault="005756C4" w:rsidP="00EB2EEF">
            <w:pPr>
              <w:jc w:val="both"/>
              <w:rPr>
                <w:rFonts w:ascii="Arial Narrow" w:hAnsi="Arial Narrow"/>
                <w:sz w:val="20"/>
                <w:szCs w:val="20"/>
              </w:rPr>
            </w:pPr>
            <w:r w:rsidRPr="00553398">
              <w:rPr>
                <w:rFonts w:ascii="Arial Narrow" w:hAnsi="Arial Narrow"/>
                <w:sz w:val="20"/>
                <w:szCs w:val="20"/>
              </w:rPr>
              <w:t xml:space="preserve">Memória DDR4 SDRAM 2.666 MT/s ou </w:t>
            </w:r>
            <w:proofErr w:type="spellStart"/>
            <w:proofErr w:type="gramStart"/>
            <w:r w:rsidRPr="00553398">
              <w:rPr>
                <w:rFonts w:ascii="Arial Narrow" w:hAnsi="Arial Narrow"/>
                <w:sz w:val="20"/>
                <w:szCs w:val="20"/>
              </w:rPr>
              <w:t>superior.No</w:t>
            </w:r>
            <w:proofErr w:type="spellEnd"/>
            <w:proofErr w:type="gramEnd"/>
            <w:r w:rsidRPr="00553398">
              <w:rPr>
                <w:rFonts w:ascii="Arial Narrow" w:hAnsi="Arial Narrow"/>
                <w:sz w:val="20"/>
                <w:szCs w:val="20"/>
              </w:rPr>
              <w:t xml:space="preserve"> mínimo 8GB instalado.</w:t>
            </w:r>
          </w:p>
        </w:tc>
      </w:tr>
      <w:tr w:rsidR="005756C4" w:rsidRPr="00553398" w14:paraId="2B844929" w14:textId="77777777" w:rsidTr="00EB2EEF">
        <w:tc>
          <w:tcPr>
            <w:tcW w:w="2269" w:type="dxa"/>
            <w:tcBorders>
              <w:top w:val="single" w:sz="12" w:space="0" w:color="auto"/>
              <w:left w:val="single" w:sz="12" w:space="0" w:color="auto"/>
              <w:bottom w:val="single" w:sz="12" w:space="0" w:color="auto"/>
              <w:right w:val="single" w:sz="12" w:space="0" w:color="auto"/>
            </w:tcBorders>
          </w:tcPr>
          <w:p w14:paraId="10A9CABB"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Unidade de armazenamento</w:t>
            </w:r>
          </w:p>
        </w:tc>
        <w:tc>
          <w:tcPr>
            <w:tcW w:w="7938" w:type="dxa"/>
            <w:tcBorders>
              <w:top w:val="single" w:sz="12" w:space="0" w:color="auto"/>
              <w:left w:val="single" w:sz="12" w:space="0" w:color="auto"/>
              <w:bottom w:val="single" w:sz="12" w:space="0" w:color="auto"/>
              <w:right w:val="single" w:sz="12" w:space="0" w:color="auto"/>
            </w:tcBorders>
          </w:tcPr>
          <w:p w14:paraId="5CD326CC"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Capacidade de armazenamento de 256GB </w:t>
            </w:r>
            <w:proofErr w:type="spellStart"/>
            <w:r w:rsidRPr="00553398">
              <w:rPr>
                <w:rFonts w:ascii="Arial Narrow" w:hAnsi="Arial Narrow"/>
                <w:sz w:val="20"/>
                <w:szCs w:val="20"/>
              </w:rPr>
              <w:t>SSD.Interface</w:t>
            </w:r>
            <w:proofErr w:type="spellEnd"/>
            <w:r w:rsidRPr="00553398">
              <w:rPr>
                <w:rFonts w:ascii="Arial Narrow" w:hAnsi="Arial Narrow"/>
                <w:sz w:val="20"/>
                <w:szCs w:val="20"/>
              </w:rPr>
              <w:t xml:space="preserve"> M.2 </w:t>
            </w:r>
            <w:proofErr w:type="spellStart"/>
            <w:r w:rsidRPr="00553398">
              <w:rPr>
                <w:rFonts w:ascii="Arial Narrow" w:hAnsi="Arial Narrow"/>
                <w:sz w:val="20"/>
                <w:szCs w:val="20"/>
              </w:rPr>
              <w:t>PCIe</w:t>
            </w:r>
            <w:proofErr w:type="spellEnd"/>
            <w:r w:rsidRPr="00553398">
              <w:rPr>
                <w:rFonts w:ascii="Arial Narrow" w:hAnsi="Arial Narrow"/>
                <w:sz w:val="20"/>
                <w:szCs w:val="20"/>
              </w:rPr>
              <w:t xml:space="preserve"> NVME ou superior;</w:t>
            </w:r>
            <w:r>
              <w:rPr>
                <w:rFonts w:ascii="Arial Narrow" w:hAnsi="Arial Narrow"/>
                <w:sz w:val="20"/>
                <w:szCs w:val="20"/>
              </w:rPr>
              <w:t xml:space="preserve"> </w:t>
            </w:r>
            <w:r w:rsidRPr="00553398">
              <w:rPr>
                <w:rFonts w:ascii="Arial Narrow" w:hAnsi="Arial Narrow"/>
                <w:sz w:val="20"/>
                <w:szCs w:val="20"/>
              </w:rPr>
              <w:t>Informar Marca/Modelo da unidade ofertada.</w:t>
            </w:r>
          </w:p>
        </w:tc>
      </w:tr>
      <w:tr w:rsidR="005756C4" w:rsidRPr="00553398" w14:paraId="41D4CE82" w14:textId="77777777" w:rsidTr="00EB2EEF">
        <w:trPr>
          <w:trHeight w:val="295"/>
        </w:trPr>
        <w:tc>
          <w:tcPr>
            <w:tcW w:w="2269" w:type="dxa"/>
            <w:tcBorders>
              <w:top w:val="single" w:sz="12" w:space="0" w:color="auto"/>
              <w:left w:val="single" w:sz="12" w:space="0" w:color="auto"/>
              <w:bottom w:val="single" w:sz="12" w:space="0" w:color="auto"/>
            </w:tcBorders>
          </w:tcPr>
          <w:p w14:paraId="0CF776B3"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Segurança</w:t>
            </w:r>
          </w:p>
        </w:tc>
        <w:tc>
          <w:tcPr>
            <w:tcW w:w="7938" w:type="dxa"/>
            <w:tcBorders>
              <w:top w:val="single" w:sz="12" w:space="0" w:color="auto"/>
              <w:bottom w:val="single" w:sz="12" w:space="0" w:color="auto"/>
              <w:right w:val="single" w:sz="12" w:space="0" w:color="auto"/>
            </w:tcBorders>
          </w:tcPr>
          <w:p w14:paraId="0C916B7A"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Deverá possuir o Leitor Biométrico de impressões digitais;</w:t>
            </w:r>
          </w:p>
        </w:tc>
      </w:tr>
      <w:tr w:rsidR="005756C4" w:rsidRPr="00553398" w14:paraId="23990ABB" w14:textId="77777777" w:rsidTr="00EB2EEF">
        <w:trPr>
          <w:trHeight w:val="560"/>
        </w:trPr>
        <w:tc>
          <w:tcPr>
            <w:tcW w:w="2269" w:type="dxa"/>
            <w:tcBorders>
              <w:top w:val="single" w:sz="12" w:space="0" w:color="auto"/>
              <w:left w:val="single" w:sz="12" w:space="0" w:color="000000"/>
              <w:bottom w:val="single" w:sz="12" w:space="0" w:color="000000"/>
              <w:right w:val="single" w:sz="12" w:space="0" w:color="000000"/>
            </w:tcBorders>
          </w:tcPr>
          <w:p w14:paraId="1C032AFE" w14:textId="77777777" w:rsidR="005756C4" w:rsidRPr="00553398" w:rsidRDefault="005756C4" w:rsidP="00EB2EEF">
            <w:pPr>
              <w:rPr>
                <w:rFonts w:ascii="Arial Narrow" w:hAnsi="Arial Narrow" w:cs="Arial"/>
                <w:b/>
                <w:bCs/>
                <w:sz w:val="20"/>
                <w:szCs w:val="20"/>
              </w:rPr>
            </w:pPr>
          </w:p>
        </w:tc>
        <w:tc>
          <w:tcPr>
            <w:tcW w:w="7938" w:type="dxa"/>
            <w:tcBorders>
              <w:top w:val="single" w:sz="12" w:space="0" w:color="auto"/>
              <w:left w:val="single" w:sz="12" w:space="0" w:color="000000"/>
              <w:bottom w:val="single" w:sz="12" w:space="0" w:color="000000"/>
              <w:right w:val="single" w:sz="12" w:space="0" w:color="auto"/>
            </w:tcBorders>
          </w:tcPr>
          <w:p w14:paraId="40951CFA" w14:textId="77777777" w:rsidR="005756C4" w:rsidRPr="00553398" w:rsidRDefault="005756C4" w:rsidP="00EB2EEF">
            <w:pPr>
              <w:rPr>
                <w:rFonts w:ascii="Arial Narrow" w:hAnsi="Arial Narrow"/>
                <w:sz w:val="20"/>
                <w:szCs w:val="20"/>
              </w:rPr>
            </w:pPr>
            <w:r w:rsidRPr="00553398">
              <w:rPr>
                <w:rFonts w:ascii="Arial Narrow" w:hAnsi="Arial Narrow"/>
                <w:sz w:val="20"/>
                <w:szCs w:val="20"/>
              </w:rPr>
              <w:t>Possuir sistema de fechamento da lente da Webcam integrado ao gabinete;</w:t>
            </w:r>
          </w:p>
          <w:p w14:paraId="33858055" w14:textId="77777777" w:rsidR="005756C4" w:rsidRPr="00553398" w:rsidRDefault="005756C4" w:rsidP="00EB2EEF">
            <w:pPr>
              <w:rPr>
                <w:rFonts w:ascii="Arial Narrow" w:hAnsi="Arial Narrow"/>
                <w:sz w:val="20"/>
                <w:szCs w:val="20"/>
              </w:rPr>
            </w:pPr>
            <w:r w:rsidRPr="00553398">
              <w:rPr>
                <w:rFonts w:ascii="Arial Narrow" w:hAnsi="Arial Narrow"/>
                <w:sz w:val="20"/>
                <w:szCs w:val="20"/>
              </w:rPr>
              <w:t>Equipamento deverá permitir a colocação de dispositivo antifurto do tipo Kensington ou Noble.</w:t>
            </w:r>
          </w:p>
        </w:tc>
      </w:tr>
      <w:tr w:rsidR="005756C4" w:rsidRPr="00553398" w14:paraId="27EB4C65"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413D7735"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Portas interfaces</w:t>
            </w:r>
          </w:p>
        </w:tc>
        <w:tc>
          <w:tcPr>
            <w:tcW w:w="7938" w:type="dxa"/>
            <w:tcBorders>
              <w:top w:val="single" w:sz="12" w:space="0" w:color="000000"/>
              <w:left w:val="single" w:sz="12" w:space="0" w:color="000000"/>
              <w:bottom w:val="single" w:sz="12" w:space="0" w:color="000000"/>
              <w:right w:val="single" w:sz="12" w:space="0" w:color="000000"/>
            </w:tcBorders>
          </w:tcPr>
          <w:p w14:paraId="6E130CD6"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Conectores de entrada de microfone e de saída de fones de ouvido (serão aceitos conectores do tipo combo).</w:t>
            </w:r>
          </w:p>
          <w:p w14:paraId="6BE04CC0"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Possuir 3 (três) portas USB no total, sendo, 01 (uma) porta USB 3.1 energizada e, deverá possuir, 1 (uma) porta no padrão USB 3.1 Tipo C, com capacidade de transmitir sinal de vídeo e carregar o </w:t>
            </w:r>
            <w:r w:rsidRPr="00553398">
              <w:rPr>
                <w:rFonts w:ascii="Arial Narrow" w:hAnsi="Arial Narrow"/>
                <w:sz w:val="20"/>
                <w:szCs w:val="20"/>
              </w:rPr>
              <w:lastRenderedPageBreak/>
              <w:t xml:space="preserve">equipamento simultaneamente, permitindo conexão única entre o notebook e as DOCAS compatíveis. </w:t>
            </w:r>
          </w:p>
          <w:p w14:paraId="16ED47E1" w14:textId="77777777" w:rsidR="005756C4" w:rsidRPr="005D402D" w:rsidRDefault="005756C4" w:rsidP="00EB2EEF">
            <w:pPr>
              <w:jc w:val="both"/>
              <w:rPr>
                <w:rFonts w:ascii="Arial Narrow" w:hAnsi="Arial Narrow"/>
                <w:sz w:val="20"/>
                <w:szCs w:val="20"/>
              </w:rPr>
            </w:pPr>
            <w:r w:rsidRPr="00553398">
              <w:rPr>
                <w:rFonts w:ascii="Arial Narrow" w:hAnsi="Arial Narrow"/>
                <w:sz w:val="20"/>
                <w:szCs w:val="20"/>
              </w:rPr>
              <w:t>1 saída padrão HDMI ou outra porta com adaptador apropriado para disponibilizar saída HDMI.</w:t>
            </w:r>
          </w:p>
        </w:tc>
      </w:tr>
      <w:tr w:rsidR="005756C4" w:rsidRPr="00553398" w14:paraId="73B1FEB1"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08DE8760"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lastRenderedPageBreak/>
              <w:t>Teclado</w:t>
            </w:r>
          </w:p>
        </w:tc>
        <w:tc>
          <w:tcPr>
            <w:tcW w:w="7938" w:type="dxa"/>
            <w:tcBorders>
              <w:top w:val="single" w:sz="12" w:space="0" w:color="000000"/>
              <w:left w:val="single" w:sz="12" w:space="0" w:color="000000"/>
              <w:bottom w:val="single" w:sz="12" w:space="0" w:color="000000"/>
              <w:right w:val="single" w:sz="12" w:space="0" w:color="000000"/>
            </w:tcBorders>
          </w:tcPr>
          <w:p w14:paraId="5BFC28B1"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Teclado retro iluminado acoplado ao gabinete no padrão ABNT2.</w:t>
            </w:r>
            <w:r>
              <w:rPr>
                <w:rFonts w:ascii="Arial Narrow" w:hAnsi="Arial Narrow"/>
                <w:sz w:val="20"/>
                <w:szCs w:val="20"/>
              </w:rPr>
              <w:t xml:space="preserve"> </w:t>
            </w:r>
            <w:r w:rsidRPr="00553398">
              <w:rPr>
                <w:rFonts w:ascii="Arial Narrow" w:hAnsi="Arial Narrow"/>
                <w:sz w:val="20"/>
                <w:szCs w:val="20"/>
              </w:rPr>
              <w:t xml:space="preserve">A impressão sobre as teclas deverá ser do tipo permanente, não podendo apresentar desgaste por abrasão ou uso </w:t>
            </w:r>
            <w:proofErr w:type="gramStart"/>
            <w:r w:rsidRPr="00553398">
              <w:rPr>
                <w:rFonts w:ascii="Arial Narrow" w:hAnsi="Arial Narrow"/>
                <w:sz w:val="20"/>
                <w:szCs w:val="20"/>
              </w:rPr>
              <w:t>prolongado.Com</w:t>
            </w:r>
            <w:proofErr w:type="gramEnd"/>
            <w:r w:rsidRPr="00553398">
              <w:rPr>
                <w:rFonts w:ascii="Arial Narrow" w:hAnsi="Arial Narrow"/>
                <w:sz w:val="20"/>
                <w:szCs w:val="20"/>
              </w:rPr>
              <w:t xml:space="preserve"> proteção contra líquidos.</w:t>
            </w:r>
          </w:p>
        </w:tc>
      </w:tr>
      <w:tr w:rsidR="005756C4" w:rsidRPr="00553398" w14:paraId="7C6C1134"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0E84B7D4"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Dispositivo apontador</w:t>
            </w:r>
          </w:p>
        </w:tc>
        <w:tc>
          <w:tcPr>
            <w:tcW w:w="7938" w:type="dxa"/>
            <w:tcBorders>
              <w:top w:val="single" w:sz="12" w:space="0" w:color="000000"/>
              <w:left w:val="single" w:sz="12" w:space="0" w:color="000000"/>
              <w:bottom w:val="single" w:sz="12" w:space="0" w:color="000000"/>
              <w:right w:val="single" w:sz="12" w:space="0" w:color="000000"/>
            </w:tcBorders>
          </w:tcPr>
          <w:p w14:paraId="148CE64F" w14:textId="77777777" w:rsidR="005756C4" w:rsidRPr="005D402D" w:rsidRDefault="005756C4" w:rsidP="00EB2EEF">
            <w:pPr>
              <w:jc w:val="both"/>
              <w:rPr>
                <w:rFonts w:ascii="Arial Narrow" w:hAnsi="Arial Narrow"/>
                <w:sz w:val="20"/>
                <w:szCs w:val="20"/>
              </w:rPr>
            </w:pPr>
            <w:r w:rsidRPr="00553398">
              <w:rPr>
                <w:rFonts w:ascii="Arial Narrow" w:hAnsi="Arial Narrow"/>
                <w:sz w:val="20"/>
                <w:szCs w:val="20"/>
              </w:rPr>
              <w:t xml:space="preserve">Mouse embutido do tipo Touch </w:t>
            </w:r>
            <w:proofErr w:type="spellStart"/>
            <w:r w:rsidRPr="00553398">
              <w:rPr>
                <w:rFonts w:ascii="Arial Narrow" w:hAnsi="Arial Narrow"/>
                <w:sz w:val="20"/>
                <w:szCs w:val="20"/>
              </w:rPr>
              <w:t>Pad</w:t>
            </w:r>
            <w:proofErr w:type="spellEnd"/>
            <w:r w:rsidRPr="00553398">
              <w:rPr>
                <w:rFonts w:ascii="Arial Narrow" w:hAnsi="Arial Narrow"/>
                <w:sz w:val="20"/>
                <w:szCs w:val="20"/>
              </w:rPr>
              <w:t xml:space="preserve"> ou </w:t>
            </w:r>
            <w:proofErr w:type="spellStart"/>
            <w:r w:rsidRPr="00553398">
              <w:rPr>
                <w:rFonts w:ascii="Arial Narrow" w:hAnsi="Arial Narrow"/>
                <w:sz w:val="20"/>
                <w:szCs w:val="20"/>
              </w:rPr>
              <w:t>Clickpad</w:t>
            </w:r>
            <w:proofErr w:type="spellEnd"/>
            <w:r w:rsidRPr="00553398">
              <w:rPr>
                <w:rFonts w:ascii="Arial Narrow" w:hAnsi="Arial Narrow"/>
                <w:sz w:val="20"/>
                <w:szCs w:val="20"/>
              </w:rPr>
              <w:t xml:space="preserve"> com 2 </w:t>
            </w:r>
            <w:proofErr w:type="spellStart"/>
            <w:proofErr w:type="gramStart"/>
            <w:r w:rsidRPr="00553398">
              <w:rPr>
                <w:rFonts w:ascii="Arial Narrow" w:hAnsi="Arial Narrow"/>
                <w:sz w:val="20"/>
                <w:szCs w:val="20"/>
              </w:rPr>
              <w:t>botões.Deverá</w:t>
            </w:r>
            <w:proofErr w:type="spellEnd"/>
            <w:proofErr w:type="gramEnd"/>
            <w:r w:rsidRPr="00553398">
              <w:rPr>
                <w:rFonts w:ascii="Arial Narrow" w:hAnsi="Arial Narrow"/>
                <w:sz w:val="20"/>
                <w:szCs w:val="20"/>
              </w:rPr>
              <w:t xml:space="preserve"> possuir dispositivo apontador tipo “</w:t>
            </w:r>
            <w:proofErr w:type="spellStart"/>
            <w:r w:rsidRPr="00553398">
              <w:rPr>
                <w:rFonts w:ascii="Arial Narrow" w:hAnsi="Arial Narrow"/>
                <w:sz w:val="20"/>
                <w:szCs w:val="20"/>
              </w:rPr>
              <w:t>Pointing</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stick</w:t>
            </w:r>
            <w:proofErr w:type="spellEnd"/>
            <w:r w:rsidRPr="00553398">
              <w:rPr>
                <w:rFonts w:ascii="Arial Narrow" w:hAnsi="Arial Narrow"/>
                <w:sz w:val="20"/>
                <w:szCs w:val="20"/>
              </w:rPr>
              <w:t>” ou suas variantes comerciais, com no mínimo 2 botões.</w:t>
            </w:r>
          </w:p>
        </w:tc>
      </w:tr>
      <w:tr w:rsidR="005756C4" w:rsidRPr="00553398" w14:paraId="0D8D997F"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58DCF40C"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Fonte de alimentação/bateria</w:t>
            </w:r>
          </w:p>
        </w:tc>
        <w:tc>
          <w:tcPr>
            <w:tcW w:w="7938" w:type="dxa"/>
            <w:tcBorders>
              <w:top w:val="single" w:sz="12" w:space="0" w:color="000000"/>
              <w:left w:val="single" w:sz="12" w:space="0" w:color="000000"/>
              <w:bottom w:val="single" w:sz="12" w:space="0" w:color="000000"/>
              <w:right w:val="single" w:sz="12" w:space="0" w:color="000000"/>
            </w:tcBorders>
          </w:tcPr>
          <w:p w14:paraId="2F8B4973"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Fonte de alimentação para corrente alternada com tensões de entrada de 100 a 240 VAC (+/-10%), 50-60Hz, com seleção automática de </w:t>
            </w:r>
            <w:proofErr w:type="spellStart"/>
            <w:proofErr w:type="gramStart"/>
            <w:r w:rsidRPr="00553398">
              <w:rPr>
                <w:rFonts w:ascii="Arial Narrow" w:hAnsi="Arial Narrow"/>
                <w:sz w:val="20"/>
                <w:szCs w:val="20"/>
              </w:rPr>
              <w:t>tensão.Bateria</w:t>
            </w:r>
            <w:proofErr w:type="spellEnd"/>
            <w:proofErr w:type="gramEnd"/>
            <w:r w:rsidRPr="00553398">
              <w:rPr>
                <w:rFonts w:ascii="Arial Narrow" w:hAnsi="Arial Narrow"/>
                <w:sz w:val="20"/>
                <w:szCs w:val="20"/>
              </w:rPr>
              <w:t xml:space="preserve"> interna com pelo menos 45WHr de capacidade </w:t>
            </w:r>
            <w:proofErr w:type="spellStart"/>
            <w:r w:rsidRPr="00553398">
              <w:rPr>
                <w:rFonts w:ascii="Arial Narrow" w:hAnsi="Arial Narrow"/>
                <w:sz w:val="20"/>
                <w:szCs w:val="20"/>
              </w:rPr>
              <w:t>energética;Equipamento</w:t>
            </w:r>
            <w:proofErr w:type="spellEnd"/>
            <w:r w:rsidRPr="00553398">
              <w:rPr>
                <w:rFonts w:ascii="Arial Narrow" w:hAnsi="Arial Narrow"/>
                <w:sz w:val="20"/>
                <w:szCs w:val="20"/>
              </w:rPr>
              <w:t xml:space="preserve"> ofertado deverá oferecer suporte a carga rápida da bateria;</w:t>
            </w:r>
          </w:p>
        </w:tc>
      </w:tr>
      <w:tr w:rsidR="005756C4" w:rsidRPr="00553398" w14:paraId="617DFDA5"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0C465303"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Gabinete</w:t>
            </w:r>
          </w:p>
        </w:tc>
        <w:tc>
          <w:tcPr>
            <w:tcW w:w="7938" w:type="dxa"/>
            <w:tcBorders>
              <w:top w:val="single" w:sz="12" w:space="0" w:color="000000"/>
              <w:left w:val="single" w:sz="12" w:space="0" w:color="000000"/>
              <w:bottom w:val="single" w:sz="12" w:space="0" w:color="000000"/>
              <w:right w:val="single" w:sz="12" w:space="0" w:color="000000"/>
            </w:tcBorders>
          </w:tcPr>
          <w:p w14:paraId="00EB6493" w14:textId="77777777" w:rsidR="005756C4" w:rsidRPr="005D402D" w:rsidRDefault="005756C4" w:rsidP="00EB2EEF">
            <w:pPr>
              <w:jc w:val="both"/>
              <w:rPr>
                <w:rFonts w:ascii="Arial Narrow" w:hAnsi="Arial Narrow"/>
                <w:sz w:val="20"/>
                <w:szCs w:val="20"/>
              </w:rPr>
            </w:pPr>
            <w:r w:rsidRPr="00553398">
              <w:rPr>
                <w:rFonts w:ascii="Arial Narrow" w:hAnsi="Arial Narrow"/>
                <w:sz w:val="20"/>
                <w:szCs w:val="20"/>
              </w:rPr>
              <w:t xml:space="preserve">O gabinete deve, em todo ou na tampa do LCD, possuir em sua composição, materiais como: alumínio, liga de magnésio, fibra de carbono e/ou </w:t>
            </w:r>
            <w:proofErr w:type="spellStart"/>
            <w:proofErr w:type="gramStart"/>
            <w:r w:rsidRPr="00553398">
              <w:rPr>
                <w:rFonts w:ascii="Arial Narrow" w:hAnsi="Arial Narrow"/>
                <w:sz w:val="20"/>
                <w:szCs w:val="20"/>
              </w:rPr>
              <w:t>vidro.Possuir</w:t>
            </w:r>
            <w:proofErr w:type="spellEnd"/>
            <w:proofErr w:type="gramEnd"/>
            <w:r w:rsidRPr="00553398">
              <w:rPr>
                <w:rFonts w:ascii="Arial Narrow" w:hAnsi="Arial Narrow"/>
                <w:sz w:val="20"/>
                <w:szCs w:val="20"/>
              </w:rPr>
              <w:t xml:space="preserve"> botão liga/</w:t>
            </w:r>
            <w:proofErr w:type="spellStart"/>
            <w:r w:rsidRPr="00553398">
              <w:rPr>
                <w:rFonts w:ascii="Arial Narrow" w:hAnsi="Arial Narrow"/>
                <w:sz w:val="20"/>
                <w:szCs w:val="20"/>
              </w:rPr>
              <w:t>desliga.Possuir</w:t>
            </w:r>
            <w:proofErr w:type="spellEnd"/>
            <w:r w:rsidRPr="00553398">
              <w:rPr>
                <w:rFonts w:ascii="Arial Narrow" w:hAnsi="Arial Narrow"/>
                <w:sz w:val="20"/>
                <w:szCs w:val="20"/>
              </w:rPr>
              <w:t xml:space="preserve"> alto falantes e microfones integrados ao </w:t>
            </w:r>
            <w:proofErr w:type="spellStart"/>
            <w:r w:rsidRPr="00553398">
              <w:rPr>
                <w:rFonts w:ascii="Arial Narrow" w:hAnsi="Arial Narrow"/>
                <w:sz w:val="20"/>
                <w:szCs w:val="20"/>
              </w:rPr>
              <w:t>gabinete.Não</w:t>
            </w:r>
            <w:proofErr w:type="spellEnd"/>
            <w:r w:rsidRPr="00553398">
              <w:rPr>
                <w:rFonts w:ascii="Arial Narrow" w:hAnsi="Arial Narrow"/>
                <w:sz w:val="20"/>
                <w:szCs w:val="20"/>
              </w:rPr>
              <w:t xml:space="preserve"> existir quaisquer adaptações no gabinete destinadas a implementar o sistema de trava de segurança Kensington ou </w:t>
            </w:r>
            <w:proofErr w:type="spellStart"/>
            <w:r w:rsidRPr="00553398">
              <w:rPr>
                <w:rFonts w:ascii="Arial Narrow" w:hAnsi="Arial Narrow"/>
                <w:sz w:val="20"/>
                <w:szCs w:val="20"/>
              </w:rPr>
              <w:t>Noble.Peso</w:t>
            </w:r>
            <w:proofErr w:type="spellEnd"/>
            <w:r w:rsidRPr="00553398">
              <w:rPr>
                <w:rFonts w:ascii="Arial Narrow" w:hAnsi="Arial Narrow"/>
                <w:sz w:val="20"/>
                <w:szCs w:val="20"/>
              </w:rPr>
              <w:t xml:space="preserve"> máximo do conjunto (notebook com bateria instalada) de no máximo 1.850 gramas.</w:t>
            </w:r>
          </w:p>
        </w:tc>
      </w:tr>
      <w:tr w:rsidR="005756C4" w:rsidRPr="00553398" w14:paraId="13DE0B93"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39787D28" w14:textId="77777777" w:rsidR="005756C4" w:rsidRPr="00553398" w:rsidRDefault="005756C4" w:rsidP="00EB2EEF">
            <w:pPr>
              <w:spacing w:line="360" w:lineRule="auto"/>
              <w:rPr>
                <w:rFonts w:ascii="Arial Narrow" w:hAnsi="Arial Narrow" w:cs="Arial"/>
                <w:b/>
                <w:bCs/>
                <w:sz w:val="20"/>
                <w:szCs w:val="20"/>
              </w:rPr>
            </w:pPr>
            <w:r w:rsidRPr="00553398">
              <w:rPr>
                <w:rFonts w:ascii="Arial Narrow" w:hAnsi="Arial Narrow" w:cs="Arial"/>
                <w:b/>
                <w:bCs/>
                <w:sz w:val="20"/>
                <w:szCs w:val="20"/>
              </w:rPr>
              <w:t xml:space="preserve">Interface de </w:t>
            </w:r>
            <w:proofErr w:type="spellStart"/>
            <w:r w:rsidRPr="00553398">
              <w:rPr>
                <w:rFonts w:ascii="Arial Narrow" w:hAnsi="Arial Narrow" w:cs="Arial"/>
                <w:b/>
                <w:bCs/>
                <w:sz w:val="20"/>
                <w:szCs w:val="20"/>
              </w:rPr>
              <w:t>video</w:t>
            </w:r>
            <w:proofErr w:type="spellEnd"/>
          </w:p>
        </w:tc>
        <w:tc>
          <w:tcPr>
            <w:tcW w:w="7938" w:type="dxa"/>
            <w:tcBorders>
              <w:top w:val="single" w:sz="12" w:space="0" w:color="000000"/>
              <w:left w:val="single" w:sz="12" w:space="0" w:color="000000"/>
              <w:bottom w:val="single" w:sz="12" w:space="0" w:color="000000"/>
              <w:right w:val="single" w:sz="12" w:space="0" w:color="000000"/>
            </w:tcBorders>
          </w:tcPr>
          <w:p w14:paraId="5E664125"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Possuir compatibilidade com DirectX 12 e OpenGL 4.5</w:t>
            </w:r>
            <w:r>
              <w:rPr>
                <w:rFonts w:ascii="Arial Narrow" w:hAnsi="Arial Narrow"/>
                <w:sz w:val="20"/>
                <w:szCs w:val="20"/>
              </w:rPr>
              <w:t xml:space="preserve">. </w:t>
            </w:r>
            <w:r w:rsidRPr="00553398">
              <w:rPr>
                <w:rFonts w:ascii="Arial Narrow" w:hAnsi="Arial Narrow"/>
                <w:sz w:val="20"/>
                <w:szCs w:val="20"/>
              </w:rPr>
              <w:t xml:space="preserve">Possuir </w:t>
            </w:r>
            <w:r>
              <w:rPr>
                <w:rFonts w:ascii="Arial Narrow" w:hAnsi="Arial Narrow"/>
                <w:sz w:val="20"/>
                <w:szCs w:val="20"/>
              </w:rPr>
              <w:t xml:space="preserve">no mínimo </w:t>
            </w:r>
            <w:r w:rsidRPr="00553398">
              <w:rPr>
                <w:rFonts w:ascii="Arial Narrow" w:hAnsi="Arial Narrow"/>
                <w:sz w:val="20"/>
                <w:szCs w:val="20"/>
              </w:rPr>
              <w:t>1 (uma) conexão de vídeo externa do tipo HDMI;</w:t>
            </w:r>
          </w:p>
        </w:tc>
      </w:tr>
      <w:tr w:rsidR="005756C4" w:rsidRPr="00553398" w14:paraId="059A6027" w14:textId="77777777" w:rsidTr="00EB2EEF">
        <w:tc>
          <w:tcPr>
            <w:tcW w:w="2269" w:type="dxa"/>
            <w:tcBorders>
              <w:top w:val="single" w:sz="12" w:space="0" w:color="000000"/>
              <w:left w:val="single" w:sz="12" w:space="0" w:color="000000"/>
              <w:right w:val="single" w:sz="12" w:space="0" w:color="000000"/>
            </w:tcBorders>
          </w:tcPr>
          <w:p w14:paraId="486EC5CB" w14:textId="77777777" w:rsidR="005756C4" w:rsidRPr="00553398" w:rsidRDefault="005756C4" w:rsidP="00EB2EEF">
            <w:pPr>
              <w:spacing w:line="360" w:lineRule="auto"/>
              <w:rPr>
                <w:rFonts w:ascii="Arial Narrow" w:hAnsi="Arial Narrow" w:cs="Arial"/>
                <w:b/>
                <w:bCs/>
                <w:sz w:val="20"/>
                <w:szCs w:val="20"/>
              </w:rPr>
            </w:pPr>
            <w:r w:rsidRPr="00553398">
              <w:rPr>
                <w:rFonts w:ascii="Arial Narrow" w:hAnsi="Arial Narrow" w:cs="Arial"/>
                <w:b/>
                <w:bCs/>
                <w:sz w:val="20"/>
                <w:szCs w:val="20"/>
              </w:rPr>
              <w:t>Tela</w:t>
            </w:r>
          </w:p>
        </w:tc>
        <w:tc>
          <w:tcPr>
            <w:tcW w:w="7938" w:type="dxa"/>
            <w:tcBorders>
              <w:top w:val="single" w:sz="12" w:space="0" w:color="000000"/>
              <w:left w:val="single" w:sz="12" w:space="0" w:color="000000"/>
              <w:bottom w:val="single" w:sz="12" w:space="0" w:color="000000"/>
              <w:right w:val="single" w:sz="12" w:space="0" w:color="000000"/>
            </w:tcBorders>
          </w:tcPr>
          <w:p w14:paraId="5CA6C9D9"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Tamanho mínimo de 14</w:t>
            </w:r>
            <w:proofErr w:type="gramStart"/>
            <w:r w:rsidRPr="00553398">
              <w:rPr>
                <w:rFonts w:ascii="Arial Narrow" w:hAnsi="Arial Narrow"/>
                <w:sz w:val="20"/>
                <w:szCs w:val="20"/>
              </w:rPr>
              <w:t>”.Resolução</w:t>
            </w:r>
            <w:proofErr w:type="gramEnd"/>
            <w:r w:rsidRPr="00553398">
              <w:rPr>
                <w:rFonts w:ascii="Arial Narrow" w:hAnsi="Arial Narrow"/>
                <w:sz w:val="20"/>
                <w:szCs w:val="20"/>
              </w:rPr>
              <w:t xml:space="preserve"> nativa de 1920 x 1080 pixels ou </w:t>
            </w:r>
            <w:proofErr w:type="spellStart"/>
            <w:r w:rsidRPr="00553398">
              <w:rPr>
                <w:rFonts w:ascii="Arial Narrow" w:hAnsi="Arial Narrow"/>
                <w:sz w:val="20"/>
                <w:szCs w:val="20"/>
              </w:rPr>
              <w:t>superior.Controle</w:t>
            </w:r>
            <w:proofErr w:type="spellEnd"/>
            <w:r w:rsidRPr="00553398">
              <w:rPr>
                <w:rFonts w:ascii="Arial Narrow" w:hAnsi="Arial Narrow"/>
                <w:sz w:val="20"/>
                <w:szCs w:val="20"/>
              </w:rPr>
              <w:t xml:space="preserve"> de brilho regulável através de teclas funcionais do teclado</w:t>
            </w:r>
            <w:r>
              <w:rPr>
                <w:rFonts w:ascii="Arial Narrow" w:hAnsi="Arial Narrow"/>
                <w:sz w:val="20"/>
                <w:szCs w:val="20"/>
              </w:rPr>
              <w:t xml:space="preserve">. </w:t>
            </w:r>
            <w:r w:rsidRPr="00553398">
              <w:rPr>
                <w:rFonts w:ascii="Arial Narrow" w:hAnsi="Arial Narrow"/>
                <w:sz w:val="20"/>
                <w:szCs w:val="20"/>
              </w:rPr>
              <w:t xml:space="preserve">Tratamento antirreflexivo, não sendo aceita a solução </w:t>
            </w:r>
            <w:proofErr w:type="spellStart"/>
            <w:r w:rsidRPr="00553398">
              <w:rPr>
                <w:rFonts w:ascii="Arial Narrow" w:hAnsi="Arial Narrow"/>
                <w:sz w:val="20"/>
                <w:szCs w:val="20"/>
              </w:rPr>
              <w:t>glare</w:t>
            </w:r>
            <w:proofErr w:type="spellEnd"/>
            <w:r w:rsidRPr="00553398">
              <w:rPr>
                <w:rFonts w:ascii="Arial Narrow" w:hAnsi="Arial Narrow"/>
                <w:sz w:val="20"/>
                <w:szCs w:val="20"/>
              </w:rPr>
              <w:t xml:space="preserve"> (brilhante ou polida) ou adesivos antirreflexos.</w:t>
            </w:r>
            <w:r>
              <w:rPr>
                <w:rFonts w:ascii="Arial Narrow" w:hAnsi="Arial Narrow"/>
                <w:sz w:val="20"/>
                <w:szCs w:val="20"/>
              </w:rPr>
              <w:t xml:space="preserve"> </w:t>
            </w:r>
            <w:r w:rsidRPr="00553398">
              <w:rPr>
                <w:rFonts w:ascii="Arial Narrow" w:hAnsi="Arial Narrow"/>
                <w:sz w:val="20"/>
                <w:szCs w:val="20"/>
              </w:rPr>
              <w:t>Câmera (tipo webcam) integrada no padrão HD 720p com microfones duplos (“</w:t>
            </w:r>
            <w:proofErr w:type="spellStart"/>
            <w:r w:rsidRPr="00553398">
              <w:rPr>
                <w:rFonts w:ascii="Arial Narrow" w:hAnsi="Arial Narrow"/>
                <w:sz w:val="20"/>
                <w:szCs w:val="20"/>
              </w:rPr>
              <w:t>array</w:t>
            </w:r>
            <w:proofErr w:type="spellEnd"/>
            <w:r w:rsidRPr="00553398">
              <w:rPr>
                <w:rFonts w:ascii="Arial Narrow" w:hAnsi="Arial Narrow"/>
                <w:sz w:val="20"/>
                <w:szCs w:val="20"/>
              </w:rPr>
              <w:t>”) e com sistema de controle físico de privacidade integrado ao gabinete.</w:t>
            </w:r>
          </w:p>
        </w:tc>
      </w:tr>
      <w:tr w:rsidR="005756C4" w:rsidRPr="00553398" w14:paraId="2BD0D46E" w14:textId="77777777" w:rsidTr="00EB2EEF">
        <w:tc>
          <w:tcPr>
            <w:tcW w:w="2269" w:type="dxa"/>
            <w:tcBorders>
              <w:left w:val="single" w:sz="12" w:space="0" w:color="000000"/>
              <w:bottom w:val="single" w:sz="12" w:space="0" w:color="000000"/>
              <w:right w:val="single" w:sz="12" w:space="0" w:color="000000"/>
            </w:tcBorders>
          </w:tcPr>
          <w:p w14:paraId="0E67753D"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Interface de rede</w:t>
            </w:r>
          </w:p>
        </w:tc>
        <w:tc>
          <w:tcPr>
            <w:tcW w:w="7938" w:type="dxa"/>
            <w:tcBorders>
              <w:top w:val="single" w:sz="12" w:space="0" w:color="000000"/>
              <w:left w:val="single" w:sz="12" w:space="0" w:color="000000"/>
              <w:bottom w:val="single" w:sz="12" w:space="0" w:color="000000"/>
              <w:right w:val="single" w:sz="12" w:space="0" w:color="000000"/>
            </w:tcBorders>
          </w:tcPr>
          <w:p w14:paraId="32095A10"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Placa de rede integrada padrão Gigabit Ethernet</w:t>
            </w:r>
            <w:r>
              <w:rPr>
                <w:rFonts w:ascii="Arial Narrow" w:hAnsi="Arial Narrow"/>
                <w:sz w:val="20"/>
                <w:szCs w:val="20"/>
              </w:rPr>
              <w:t xml:space="preserve">. </w:t>
            </w:r>
            <w:r w:rsidRPr="00553398">
              <w:rPr>
                <w:rFonts w:ascii="Arial Narrow" w:hAnsi="Arial Narrow"/>
                <w:sz w:val="20"/>
                <w:szCs w:val="20"/>
              </w:rPr>
              <w:t>Suporte a PXE e Wake-</w:t>
            </w:r>
            <w:proofErr w:type="spellStart"/>
            <w:r w:rsidRPr="00553398">
              <w:rPr>
                <w:rFonts w:ascii="Arial Narrow" w:hAnsi="Arial Narrow"/>
                <w:sz w:val="20"/>
                <w:szCs w:val="20"/>
              </w:rPr>
              <w:t>On</w:t>
            </w:r>
            <w:proofErr w:type="spellEnd"/>
            <w:r w:rsidRPr="00553398">
              <w:rPr>
                <w:rFonts w:ascii="Arial Narrow" w:hAnsi="Arial Narrow"/>
                <w:sz w:val="20"/>
                <w:szCs w:val="20"/>
              </w:rPr>
              <w:t>-Lan.</w:t>
            </w:r>
          </w:p>
        </w:tc>
      </w:tr>
      <w:tr w:rsidR="005756C4" w:rsidRPr="00553398" w14:paraId="686F3CC8" w14:textId="77777777" w:rsidTr="00EB2EEF">
        <w:tc>
          <w:tcPr>
            <w:tcW w:w="2269" w:type="dxa"/>
            <w:tcBorders>
              <w:top w:val="single" w:sz="12" w:space="0" w:color="000000"/>
              <w:left w:val="single" w:sz="12" w:space="0" w:color="000000"/>
            </w:tcBorders>
          </w:tcPr>
          <w:p w14:paraId="057257C8"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Interface de rede sem fio</w:t>
            </w:r>
          </w:p>
        </w:tc>
        <w:tc>
          <w:tcPr>
            <w:tcW w:w="7938" w:type="dxa"/>
            <w:tcBorders>
              <w:top w:val="single" w:sz="12" w:space="0" w:color="000000"/>
              <w:right w:val="single" w:sz="12" w:space="0" w:color="000000"/>
            </w:tcBorders>
          </w:tcPr>
          <w:p w14:paraId="0E9E42A4"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Placa de rede Wireless embutida padrão 802.11 AX (2x2</w:t>
            </w:r>
            <w:proofErr w:type="gramStart"/>
            <w:r w:rsidRPr="00553398">
              <w:rPr>
                <w:rFonts w:ascii="Arial Narrow" w:hAnsi="Arial Narrow"/>
                <w:sz w:val="20"/>
                <w:szCs w:val="20"/>
              </w:rPr>
              <w:t>).Interface</w:t>
            </w:r>
            <w:proofErr w:type="gramEnd"/>
            <w:r w:rsidRPr="00553398">
              <w:rPr>
                <w:rFonts w:ascii="Arial Narrow" w:hAnsi="Arial Narrow"/>
                <w:sz w:val="20"/>
                <w:szCs w:val="20"/>
              </w:rPr>
              <w:t xml:space="preserve"> </w:t>
            </w:r>
            <w:proofErr w:type="spellStart"/>
            <w:r w:rsidRPr="00553398">
              <w:rPr>
                <w:rFonts w:ascii="Arial Narrow" w:hAnsi="Arial Narrow"/>
                <w:sz w:val="20"/>
                <w:szCs w:val="20"/>
              </w:rPr>
              <w:t>Bluetooh</w:t>
            </w:r>
            <w:proofErr w:type="spellEnd"/>
            <w:r w:rsidRPr="00553398">
              <w:rPr>
                <w:rFonts w:ascii="Arial Narrow" w:hAnsi="Arial Narrow"/>
                <w:sz w:val="20"/>
                <w:szCs w:val="20"/>
              </w:rPr>
              <w:t xml:space="preserve"> 5.0;</w:t>
            </w:r>
          </w:p>
        </w:tc>
      </w:tr>
      <w:tr w:rsidR="005756C4" w:rsidRPr="00553398" w14:paraId="55B89551"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0E7BAF22"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Interface de som</w:t>
            </w:r>
          </w:p>
        </w:tc>
        <w:tc>
          <w:tcPr>
            <w:tcW w:w="7938" w:type="dxa"/>
            <w:tcBorders>
              <w:top w:val="single" w:sz="12" w:space="0" w:color="000000"/>
              <w:left w:val="single" w:sz="12" w:space="0" w:color="000000"/>
              <w:bottom w:val="single" w:sz="12" w:space="0" w:color="000000"/>
              <w:right w:val="single" w:sz="12" w:space="0" w:color="000000"/>
            </w:tcBorders>
          </w:tcPr>
          <w:p w14:paraId="39FA6319" w14:textId="77777777" w:rsidR="005756C4" w:rsidRPr="00553398" w:rsidRDefault="005756C4" w:rsidP="00EB2EEF">
            <w:pPr>
              <w:jc w:val="both"/>
              <w:rPr>
                <w:rFonts w:ascii="Arial Narrow" w:hAnsi="Arial Narrow"/>
                <w:sz w:val="20"/>
                <w:szCs w:val="20"/>
              </w:rPr>
            </w:pPr>
            <w:bookmarkStart w:id="1" w:name="_Hlk14113728"/>
            <w:r w:rsidRPr="00553398">
              <w:rPr>
                <w:rFonts w:ascii="Arial Narrow" w:hAnsi="Arial Narrow"/>
                <w:sz w:val="20"/>
                <w:szCs w:val="20"/>
              </w:rPr>
              <w:t>Possuir controladora integrada, com conectores de saída e microfone (serão aceitos conectores do tipo combo</w:t>
            </w:r>
            <w:proofErr w:type="gramStart"/>
            <w:r w:rsidRPr="00553398">
              <w:rPr>
                <w:rFonts w:ascii="Arial Narrow" w:hAnsi="Arial Narrow"/>
                <w:sz w:val="20"/>
                <w:szCs w:val="20"/>
              </w:rPr>
              <w:t>).</w:t>
            </w:r>
            <w:bookmarkStart w:id="2" w:name="_Hlk32587013"/>
            <w:bookmarkEnd w:id="1"/>
            <w:r w:rsidRPr="00553398">
              <w:rPr>
                <w:rFonts w:ascii="Arial Narrow" w:hAnsi="Arial Narrow"/>
                <w:sz w:val="20"/>
                <w:szCs w:val="20"/>
              </w:rPr>
              <w:t>Possuir</w:t>
            </w:r>
            <w:proofErr w:type="gramEnd"/>
            <w:r w:rsidRPr="00553398">
              <w:rPr>
                <w:rFonts w:ascii="Arial Narrow" w:hAnsi="Arial Narrow"/>
                <w:sz w:val="20"/>
                <w:szCs w:val="20"/>
              </w:rPr>
              <w:t xml:space="preserve"> alto falantes </w:t>
            </w:r>
            <w:r>
              <w:rPr>
                <w:rFonts w:ascii="Arial Narrow" w:hAnsi="Arial Narrow"/>
                <w:sz w:val="20"/>
                <w:szCs w:val="20"/>
              </w:rPr>
              <w:t xml:space="preserve">de </w:t>
            </w:r>
            <w:r w:rsidRPr="00553398">
              <w:rPr>
                <w:rFonts w:ascii="Arial Narrow" w:hAnsi="Arial Narrow"/>
                <w:sz w:val="20"/>
                <w:szCs w:val="20"/>
              </w:rPr>
              <w:t xml:space="preserve">2W cada e microfones duplos integrados ao </w:t>
            </w:r>
            <w:proofErr w:type="spellStart"/>
            <w:r w:rsidRPr="00553398">
              <w:rPr>
                <w:rFonts w:ascii="Arial Narrow" w:hAnsi="Arial Narrow"/>
                <w:sz w:val="20"/>
                <w:szCs w:val="20"/>
              </w:rPr>
              <w:t>gabinete.</w:t>
            </w:r>
            <w:bookmarkEnd w:id="2"/>
            <w:r w:rsidRPr="00553398">
              <w:rPr>
                <w:rFonts w:ascii="Arial Narrow" w:hAnsi="Arial Narrow"/>
                <w:sz w:val="20"/>
                <w:szCs w:val="20"/>
              </w:rPr>
              <w:t>Controle</w:t>
            </w:r>
            <w:proofErr w:type="spellEnd"/>
            <w:r w:rsidRPr="00553398">
              <w:rPr>
                <w:rFonts w:ascii="Arial Narrow" w:hAnsi="Arial Narrow"/>
                <w:sz w:val="20"/>
                <w:szCs w:val="20"/>
              </w:rPr>
              <w:t xml:space="preserve"> de mudo e de volume regulável através de teclas funcionais do teclado.</w:t>
            </w:r>
          </w:p>
        </w:tc>
      </w:tr>
      <w:tr w:rsidR="005756C4" w:rsidRPr="00553398" w14:paraId="4EA654F0"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25451919"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Sistema operacional</w:t>
            </w:r>
          </w:p>
        </w:tc>
        <w:tc>
          <w:tcPr>
            <w:tcW w:w="7938" w:type="dxa"/>
            <w:tcBorders>
              <w:top w:val="single" w:sz="12" w:space="0" w:color="000000"/>
              <w:left w:val="single" w:sz="12" w:space="0" w:color="000000"/>
              <w:bottom w:val="single" w:sz="12" w:space="0" w:color="000000"/>
              <w:right w:val="single" w:sz="12" w:space="0" w:color="000000"/>
            </w:tcBorders>
          </w:tcPr>
          <w:p w14:paraId="66E0914C"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O equipamento deverá ser fornecido com licença do Sistema Operacional Microsoft® Windows 10 Professional 64 bits ou superior, idioma português (Brasil) com a respectiva chave de ativação gravada na memória flash da BIOS, reconhecida automaticamente na instalação do Sistema Operacional; </w:t>
            </w:r>
          </w:p>
          <w:p w14:paraId="5032F9CF"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O fabricante do equipamento deve disponibilizar no seu respectivo website, download gratuito de todos os drivers, BIOS, firmwares, manuais para o equipamento ofertado e devem ser facilmente localizados e identificados pelo modelo do equipamento ou código do produto; O licitante deverá fornecer pré-instalado, ou disponibilizar via Internet, software que permita a verificação e instalação das últimas atualizações de todas as ferramentas e drivers disponíveis pelo fabricante.</w:t>
            </w:r>
          </w:p>
        </w:tc>
      </w:tr>
      <w:tr w:rsidR="005756C4" w:rsidRPr="00553398" w14:paraId="4540434E"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5E1553C0"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Garantia</w:t>
            </w:r>
          </w:p>
        </w:tc>
        <w:tc>
          <w:tcPr>
            <w:tcW w:w="7938" w:type="dxa"/>
            <w:tcBorders>
              <w:top w:val="single" w:sz="12" w:space="0" w:color="000000"/>
              <w:left w:val="single" w:sz="12" w:space="0" w:color="000000"/>
              <w:bottom w:val="single" w:sz="12" w:space="0" w:color="000000"/>
              <w:right w:val="single" w:sz="12" w:space="0" w:color="000000"/>
            </w:tcBorders>
          </w:tcPr>
          <w:p w14:paraId="733AE169"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Os equipamentos devem possuir garantia do fabricante por um período mínimo de 36 (trinta e seis) meses e de 12 (doze) meses para a bateria; A abertura do chamado do fabricante deve ser feita através de central de atendimento tipo (0800), comprometendo-se a manter registros dos mesmos constando a descrição do problema, com atendimento 10 horas por dia, 5 dias por semana; </w:t>
            </w:r>
          </w:p>
          <w:p w14:paraId="34E6723B"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 xml:space="preserve">O equipamento ofertado deverá possuir código de identificação único para a abertura dos chamados; </w:t>
            </w:r>
          </w:p>
          <w:p w14:paraId="07B9094B"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Durante o prazo de garantia será substituída sem ônus para a contratante, a parte ou peça defeituosa, salvo quando o defeito for provocado por uso inadequado dos equipamentos; A garantia deverá contemplar defeitos de hardware; A garantia deverá ser prestada pelo fabricante do equipamento ou empresa prestadora de serviços de assistência técnica devidamente credenciada pelo mesmo por meio de carta, que deverá ser fornecida no ato da apresentação da proposta, devidamente assinada pelo representante legal; O atendimento no local para reparo será das 08h às 18h, de segunda a sexta-feira;</w:t>
            </w:r>
          </w:p>
          <w:p w14:paraId="60A63D23"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Esta modalidade de cobertura de garantia deverá, obrigatoriamente, entrar em vigor a partir da data de atesto, recebimento definitivo, da respectiva nota fiscal dos equipamentos fornecidos;</w:t>
            </w:r>
            <w:r>
              <w:rPr>
                <w:rFonts w:ascii="Arial Narrow" w:hAnsi="Arial Narrow"/>
                <w:sz w:val="20"/>
                <w:szCs w:val="20"/>
              </w:rPr>
              <w:t xml:space="preserve"> </w:t>
            </w:r>
            <w:proofErr w:type="gramStart"/>
            <w:r w:rsidRPr="00553398">
              <w:rPr>
                <w:rFonts w:ascii="Arial Narrow" w:hAnsi="Arial Narrow"/>
                <w:sz w:val="20"/>
                <w:szCs w:val="20"/>
              </w:rPr>
              <w:t>No</w:t>
            </w:r>
            <w:proofErr w:type="gramEnd"/>
            <w:r w:rsidRPr="00553398">
              <w:rPr>
                <w:rFonts w:ascii="Arial Narrow" w:hAnsi="Arial Narrow"/>
                <w:sz w:val="20"/>
                <w:szCs w:val="20"/>
              </w:rPr>
              <w:t xml:space="preserve"> caso de o licitante não ser o próprio fabricante do equipamento, ele deverá apresentar declaração/certificado do fabricante, comprovando que o produto ofertado possui a garantia solicitada neste termo de referência;</w:t>
            </w:r>
          </w:p>
          <w:p w14:paraId="64845F13"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Deve ser possível consultar o status da garantia através de site do fabricante (informar na proposta).</w:t>
            </w:r>
          </w:p>
        </w:tc>
      </w:tr>
      <w:tr w:rsidR="005756C4" w:rsidRPr="00553398" w14:paraId="15D7E69B" w14:textId="77777777" w:rsidTr="00EB2EEF">
        <w:tc>
          <w:tcPr>
            <w:tcW w:w="2269" w:type="dxa"/>
            <w:tcBorders>
              <w:top w:val="single" w:sz="12" w:space="0" w:color="000000"/>
              <w:left w:val="single" w:sz="12" w:space="0" w:color="000000"/>
              <w:right w:val="single" w:sz="12" w:space="0" w:color="000000"/>
            </w:tcBorders>
          </w:tcPr>
          <w:p w14:paraId="4D62D449"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t>Certificação</w:t>
            </w:r>
          </w:p>
        </w:tc>
        <w:tc>
          <w:tcPr>
            <w:tcW w:w="7938" w:type="dxa"/>
            <w:tcBorders>
              <w:top w:val="single" w:sz="12" w:space="0" w:color="000000"/>
              <w:left w:val="single" w:sz="12" w:space="0" w:color="000000"/>
              <w:bottom w:val="single" w:sz="12" w:space="0" w:color="000000"/>
              <w:right w:val="single" w:sz="12" w:space="0" w:color="000000"/>
            </w:tcBorders>
          </w:tcPr>
          <w:p w14:paraId="6376E343" w14:textId="77777777" w:rsidR="005756C4" w:rsidRPr="00553398" w:rsidRDefault="005756C4" w:rsidP="00EB2EEF">
            <w:pPr>
              <w:jc w:val="both"/>
              <w:rPr>
                <w:rFonts w:ascii="Arial Narrow" w:hAnsi="Arial Narrow"/>
                <w:sz w:val="20"/>
                <w:szCs w:val="20"/>
              </w:rPr>
            </w:pPr>
            <w:r w:rsidRPr="00553398">
              <w:rPr>
                <w:rFonts w:ascii="Arial Narrow" w:hAnsi="Arial Narrow"/>
                <w:sz w:val="20"/>
                <w:szCs w:val="20"/>
              </w:rPr>
              <w:t>Deverá ser apresentado catalogo completo do item para análise da especificação técnica;</w:t>
            </w:r>
            <w:r>
              <w:rPr>
                <w:rFonts w:ascii="Arial Narrow" w:hAnsi="Arial Narrow"/>
                <w:sz w:val="20"/>
                <w:szCs w:val="20"/>
              </w:rPr>
              <w:t xml:space="preserve"> </w:t>
            </w:r>
            <w:r w:rsidRPr="00553398">
              <w:rPr>
                <w:rFonts w:ascii="Arial Narrow" w:hAnsi="Arial Narrow"/>
                <w:sz w:val="20"/>
                <w:szCs w:val="20"/>
              </w:rPr>
              <w:t xml:space="preserve">O modelo do equipamento, na configuração ofertada, deverá possuir certificado de conformidade contra incidentes elétricos e de combustão dos materiais (IEC/EN 60950) e de compatibilidade eletromagnética (IEC/EN </w:t>
            </w:r>
            <w:r w:rsidRPr="00553398">
              <w:rPr>
                <w:rFonts w:ascii="Arial Narrow" w:hAnsi="Arial Narrow"/>
                <w:sz w:val="20"/>
                <w:szCs w:val="20"/>
              </w:rPr>
              <w:lastRenderedPageBreak/>
              <w:t>61000, CISPR 22 / EN 55022 ou CISPR 32 / EN 55032 e CIPR24 / EN 55024), comprovado através de certificados ou do relatório de avaliação de conformidade nos moldes da portaria 170/2012 vigente do INMETRO; Os equipamentos ofertados deverão estar em conformidade com as diretivas ROHS (</w:t>
            </w:r>
            <w:proofErr w:type="spellStart"/>
            <w:r w:rsidRPr="00553398">
              <w:rPr>
                <w:rFonts w:ascii="Arial Narrow" w:hAnsi="Arial Narrow"/>
                <w:sz w:val="20"/>
                <w:szCs w:val="20"/>
              </w:rPr>
              <w:t>Restriction</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of</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Certain</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Hazardous</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Substances</w:t>
            </w:r>
            <w:proofErr w:type="spellEnd"/>
            <w:r w:rsidRPr="00553398">
              <w:rPr>
                <w:rFonts w:ascii="Arial Narrow" w:hAnsi="Arial Narrow"/>
                <w:sz w:val="20"/>
                <w:szCs w:val="20"/>
              </w:rPr>
              <w:t xml:space="preserve">);O Fabricante do equipamento ofertado deve possuir sistema de gestão ambiental com base na norma ISO 14001, devidamente comprovado através do respectivo certificado em plena </w:t>
            </w:r>
            <w:proofErr w:type="spellStart"/>
            <w:r w:rsidRPr="00553398">
              <w:rPr>
                <w:rFonts w:ascii="Arial Narrow" w:hAnsi="Arial Narrow"/>
                <w:sz w:val="20"/>
                <w:szCs w:val="20"/>
              </w:rPr>
              <w:t>validade;O</w:t>
            </w:r>
            <w:proofErr w:type="spellEnd"/>
            <w:r w:rsidRPr="00553398">
              <w:rPr>
                <w:rFonts w:ascii="Arial Narrow" w:hAnsi="Arial Narrow"/>
                <w:sz w:val="20"/>
                <w:szCs w:val="20"/>
              </w:rPr>
              <w:t xml:space="preserve"> Fabricante do equipamento ofertado deve possuir Certificação ISO 9001:2000 em plena </w:t>
            </w:r>
            <w:proofErr w:type="spellStart"/>
            <w:r w:rsidRPr="00553398">
              <w:rPr>
                <w:rFonts w:ascii="Arial Narrow" w:hAnsi="Arial Narrow"/>
                <w:sz w:val="20"/>
                <w:szCs w:val="20"/>
              </w:rPr>
              <w:t>validade;O</w:t>
            </w:r>
            <w:proofErr w:type="spellEnd"/>
            <w:r w:rsidRPr="00553398">
              <w:rPr>
                <w:rFonts w:ascii="Arial Narrow" w:hAnsi="Arial Narrow"/>
                <w:sz w:val="20"/>
                <w:szCs w:val="20"/>
              </w:rPr>
              <w:t xml:space="preserve"> modelo, do equipamento ofertado, deverá estar listado pela Microsoft no seu catálogo de produtos compatíveis e certificados “HCL” (Hardware </w:t>
            </w:r>
            <w:proofErr w:type="spellStart"/>
            <w:r w:rsidRPr="00553398">
              <w:rPr>
                <w:rFonts w:ascii="Arial Narrow" w:hAnsi="Arial Narrow"/>
                <w:sz w:val="20"/>
                <w:szCs w:val="20"/>
              </w:rPr>
              <w:t>Compatibility</w:t>
            </w:r>
            <w:proofErr w:type="spellEnd"/>
            <w:r w:rsidRPr="00553398">
              <w:rPr>
                <w:rFonts w:ascii="Arial Narrow" w:hAnsi="Arial Narrow"/>
                <w:sz w:val="20"/>
                <w:szCs w:val="20"/>
              </w:rPr>
              <w:t xml:space="preserve"> </w:t>
            </w:r>
            <w:proofErr w:type="spellStart"/>
            <w:r w:rsidRPr="00553398">
              <w:rPr>
                <w:rFonts w:ascii="Arial Narrow" w:hAnsi="Arial Narrow"/>
                <w:sz w:val="20"/>
                <w:szCs w:val="20"/>
              </w:rPr>
              <w:t>List</w:t>
            </w:r>
            <w:proofErr w:type="spellEnd"/>
            <w:r w:rsidRPr="00553398">
              <w:rPr>
                <w:rFonts w:ascii="Arial Narrow" w:hAnsi="Arial Narrow"/>
                <w:sz w:val="20"/>
                <w:szCs w:val="20"/>
              </w:rPr>
              <w:t xml:space="preserve">) em </w:t>
            </w:r>
            <w:hyperlink r:id="rId10" w:history="1">
              <w:r w:rsidRPr="00553398">
                <w:rPr>
                  <w:rStyle w:val="Hyperlink"/>
                  <w:rFonts w:ascii="Arial Narrow" w:hAnsi="Arial Narrow"/>
                  <w:sz w:val="20"/>
                  <w:szCs w:val="20"/>
                </w:rPr>
                <w:t>https://partner.microsoft.com/en-us/dashboard/hardware/search/cpl</w:t>
              </w:r>
            </w:hyperlink>
            <w:r w:rsidRPr="00553398">
              <w:rPr>
                <w:rFonts w:ascii="Arial Narrow" w:hAnsi="Arial Narrow"/>
                <w:sz w:val="20"/>
                <w:szCs w:val="20"/>
              </w:rPr>
              <w:t xml:space="preserve"> ou, certificados de compatibilidade do equipamento obtidos junto a </w:t>
            </w:r>
            <w:proofErr w:type="spellStart"/>
            <w:r w:rsidRPr="00553398">
              <w:rPr>
                <w:rFonts w:ascii="Arial Narrow" w:hAnsi="Arial Narrow"/>
                <w:sz w:val="20"/>
                <w:szCs w:val="20"/>
              </w:rPr>
              <w:t>Microsoft;Deverá</w:t>
            </w:r>
            <w:proofErr w:type="spellEnd"/>
            <w:r w:rsidRPr="00553398">
              <w:rPr>
                <w:rFonts w:ascii="Arial Narrow" w:hAnsi="Arial Narrow"/>
                <w:sz w:val="20"/>
                <w:szCs w:val="20"/>
              </w:rPr>
              <w:t xml:space="preserve"> ser apresentado certificado em que o fabricante do equipamento é membro do consorcio DMTF (Desktop Management </w:t>
            </w:r>
            <w:proofErr w:type="spellStart"/>
            <w:r w:rsidRPr="00553398">
              <w:rPr>
                <w:rFonts w:ascii="Arial Narrow" w:hAnsi="Arial Narrow"/>
                <w:sz w:val="20"/>
                <w:szCs w:val="20"/>
              </w:rPr>
              <w:t>Task</w:t>
            </w:r>
            <w:proofErr w:type="spellEnd"/>
            <w:r w:rsidRPr="00553398">
              <w:rPr>
                <w:rFonts w:ascii="Arial Narrow" w:hAnsi="Arial Narrow"/>
                <w:sz w:val="20"/>
                <w:szCs w:val="20"/>
              </w:rPr>
              <w:t xml:space="preserve"> Force) que especifica o padrão “DMI” de gerenciamento. O FABRICANTE deverá ser membro na categoria “BOARD”. O certificado será conferido através de acesso a pagina </w:t>
            </w:r>
            <w:hyperlink r:id="rId11" w:history="1">
              <w:r w:rsidRPr="00553398">
                <w:rPr>
                  <w:rStyle w:val="Hyperlink"/>
                  <w:rFonts w:ascii="Arial Narrow" w:hAnsi="Arial Narrow"/>
                  <w:sz w:val="20"/>
                  <w:szCs w:val="20"/>
                </w:rPr>
                <w:t>http://www.dmtf.org/about/list/</w:t>
              </w:r>
            </w:hyperlink>
            <w:r w:rsidRPr="00553398">
              <w:rPr>
                <w:rFonts w:ascii="Arial Narrow" w:hAnsi="Arial Narrow"/>
                <w:sz w:val="20"/>
                <w:szCs w:val="20"/>
              </w:rPr>
              <w:t xml:space="preserve">. Apresentar página impressa onde consta tal informação, especificando o endereço eletrônico da fonte </w:t>
            </w:r>
            <w:proofErr w:type="spellStart"/>
            <w:proofErr w:type="gramStart"/>
            <w:r w:rsidRPr="00553398">
              <w:rPr>
                <w:rFonts w:ascii="Arial Narrow" w:hAnsi="Arial Narrow"/>
                <w:sz w:val="20"/>
                <w:szCs w:val="20"/>
              </w:rPr>
              <w:t>extraída;Comprovação</w:t>
            </w:r>
            <w:proofErr w:type="spellEnd"/>
            <w:proofErr w:type="gramEnd"/>
            <w:r w:rsidRPr="00553398">
              <w:rPr>
                <w:rFonts w:ascii="Arial Narrow" w:hAnsi="Arial Narrow"/>
                <w:sz w:val="20"/>
                <w:szCs w:val="20"/>
              </w:rPr>
              <w:t xml:space="preserve"> que, o(s) produto(s) ofertado(s) pertence(m) à linha corporativa. Não serão aceitos equipamentos destinados ao uso da linha doméstica; </w:t>
            </w:r>
          </w:p>
          <w:p w14:paraId="62F96D03" w14:textId="77777777" w:rsidR="005756C4" w:rsidRPr="005D402D" w:rsidRDefault="005756C4" w:rsidP="00EB2EEF">
            <w:pPr>
              <w:jc w:val="both"/>
              <w:rPr>
                <w:rFonts w:ascii="Arial Narrow" w:hAnsi="Arial Narrow"/>
                <w:sz w:val="20"/>
                <w:szCs w:val="20"/>
              </w:rPr>
            </w:pPr>
            <w:r w:rsidRPr="00553398">
              <w:rPr>
                <w:rFonts w:ascii="Arial Narrow" w:hAnsi="Arial Narrow"/>
                <w:sz w:val="20"/>
                <w:szCs w:val="20"/>
              </w:rPr>
              <w:t xml:space="preserve">Compatibilidade com o padrão DMI 2.0 (Desktop Management Interface) ou superior da DMTF (Desktop Management </w:t>
            </w:r>
            <w:proofErr w:type="spellStart"/>
            <w:r w:rsidRPr="00553398">
              <w:rPr>
                <w:rFonts w:ascii="Arial Narrow" w:hAnsi="Arial Narrow"/>
                <w:sz w:val="20"/>
                <w:szCs w:val="20"/>
              </w:rPr>
              <w:t>Task</w:t>
            </w:r>
            <w:proofErr w:type="spellEnd"/>
            <w:r w:rsidRPr="00553398">
              <w:rPr>
                <w:rFonts w:ascii="Arial Narrow" w:hAnsi="Arial Narrow"/>
                <w:sz w:val="20"/>
                <w:szCs w:val="20"/>
              </w:rPr>
              <w:t xml:space="preserve"> Force), comprovado através de documentação do fabricante do </w:t>
            </w:r>
            <w:proofErr w:type="spellStart"/>
            <w:proofErr w:type="gramStart"/>
            <w:r w:rsidRPr="00553398">
              <w:rPr>
                <w:rFonts w:ascii="Arial Narrow" w:hAnsi="Arial Narrow"/>
                <w:sz w:val="20"/>
                <w:szCs w:val="20"/>
              </w:rPr>
              <w:t>equipamento.</w:t>
            </w:r>
            <w:r w:rsidRPr="00553398">
              <w:rPr>
                <w:rFonts w:ascii="Arial Narrow" w:hAnsi="Arial Narrow" w:cstheme="minorHAnsi"/>
                <w:sz w:val="20"/>
                <w:szCs w:val="20"/>
              </w:rPr>
              <w:t>O</w:t>
            </w:r>
            <w:proofErr w:type="spellEnd"/>
            <w:proofErr w:type="gramEnd"/>
            <w:r w:rsidRPr="00553398">
              <w:rPr>
                <w:rFonts w:ascii="Arial Narrow" w:hAnsi="Arial Narrow" w:cstheme="minorHAnsi"/>
                <w:sz w:val="20"/>
                <w:szCs w:val="20"/>
              </w:rPr>
              <w:t xml:space="preserve"> fabricante do equipamento, deverá ser membro da RBA (</w:t>
            </w:r>
            <w:proofErr w:type="spellStart"/>
            <w:r w:rsidRPr="00553398">
              <w:rPr>
                <w:rFonts w:ascii="Arial Narrow" w:hAnsi="Arial Narrow" w:cstheme="minorHAnsi"/>
                <w:sz w:val="20"/>
                <w:szCs w:val="20"/>
              </w:rPr>
              <w:t>Responsible</w:t>
            </w:r>
            <w:proofErr w:type="spellEnd"/>
            <w:r w:rsidRPr="00553398">
              <w:rPr>
                <w:rFonts w:ascii="Arial Narrow" w:hAnsi="Arial Narrow" w:cstheme="minorHAnsi"/>
                <w:sz w:val="20"/>
                <w:szCs w:val="20"/>
              </w:rPr>
              <w:t xml:space="preserve"> Business Alliance), antiga EICC, ou possuir Certificação válida ISO 45001, para garantia de conformidade com as questões ambientais, qualidade e segurança do bem-estar de seus funcionários e investimentos ambientais. O fabricante deverá estar relacionado no site da RBA, </w:t>
            </w:r>
            <w:hyperlink r:id="rId12" w:history="1">
              <w:r w:rsidRPr="00553398">
                <w:rPr>
                  <w:rStyle w:val="Hyperlink"/>
                  <w:rFonts w:ascii="Arial Narrow" w:hAnsi="Arial Narrow" w:cstheme="minorHAnsi"/>
                  <w:sz w:val="20"/>
                  <w:szCs w:val="20"/>
                </w:rPr>
                <w:t>http://www.responsiblebusiness.org/about/members/</w:t>
              </w:r>
            </w:hyperlink>
            <w:r w:rsidRPr="00553398">
              <w:rPr>
                <w:rFonts w:ascii="Arial Narrow" w:hAnsi="Arial Narrow" w:cstheme="minorHAnsi"/>
                <w:sz w:val="20"/>
                <w:szCs w:val="20"/>
              </w:rPr>
              <w:t xml:space="preserve">  ou apresentar o Certificado da ISO 45001 válido. </w:t>
            </w:r>
            <w:r w:rsidRPr="00553398">
              <w:rPr>
                <w:rFonts w:ascii="Arial Narrow" w:hAnsi="Arial Narrow"/>
                <w:sz w:val="20"/>
                <w:szCs w:val="20"/>
              </w:rPr>
              <w:t xml:space="preserve">Deverá ser apresentada certificação Energy Star® 6.0 (ou mais atual), através do site </w:t>
            </w:r>
            <w:hyperlink r:id="rId13" w:history="1">
              <w:r w:rsidRPr="00553398">
                <w:rPr>
                  <w:rStyle w:val="Hyperlink"/>
                  <w:rFonts w:ascii="Arial Narrow" w:hAnsi="Arial Narrow"/>
                  <w:sz w:val="20"/>
                  <w:szCs w:val="20"/>
                </w:rPr>
                <w:t>www.energystar.gov</w:t>
              </w:r>
            </w:hyperlink>
            <w:r w:rsidRPr="00553398">
              <w:rPr>
                <w:rFonts w:ascii="Arial Narrow" w:hAnsi="Arial Narrow"/>
                <w:sz w:val="20"/>
                <w:szCs w:val="20"/>
              </w:rPr>
              <w:t xml:space="preserve">  ou apresentar relatório técnico de ensaios de conformidade de consumo de energia, emitido por laboratório de ensaio acreditado pela Coordenação Geral de Acreditação (CGCRE)do Inmetro, de acordo com a norma NBR/ISO IEC 17025;</w:t>
            </w:r>
          </w:p>
        </w:tc>
      </w:tr>
      <w:tr w:rsidR="005756C4" w:rsidRPr="00553398" w14:paraId="6475D45E" w14:textId="77777777" w:rsidTr="00EB2EEF">
        <w:tc>
          <w:tcPr>
            <w:tcW w:w="2269" w:type="dxa"/>
            <w:tcBorders>
              <w:top w:val="single" w:sz="12" w:space="0" w:color="000000"/>
              <w:left w:val="single" w:sz="12" w:space="0" w:color="000000"/>
              <w:bottom w:val="single" w:sz="12" w:space="0" w:color="000000"/>
              <w:right w:val="single" w:sz="12" w:space="0" w:color="000000"/>
            </w:tcBorders>
          </w:tcPr>
          <w:p w14:paraId="16B68BF9" w14:textId="77777777" w:rsidR="005756C4" w:rsidRPr="00553398" w:rsidRDefault="005756C4" w:rsidP="00EB2EEF">
            <w:pPr>
              <w:rPr>
                <w:rFonts w:ascii="Arial Narrow" w:hAnsi="Arial Narrow" w:cs="Arial"/>
                <w:b/>
                <w:bCs/>
                <w:sz w:val="20"/>
                <w:szCs w:val="20"/>
              </w:rPr>
            </w:pPr>
            <w:r w:rsidRPr="00553398">
              <w:rPr>
                <w:rFonts w:ascii="Arial Narrow" w:hAnsi="Arial Narrow" w:cs="Arial"/>
                <w:b/>
                <w:bCs/>
                <w:sz w:val="20"/>
                <w:szCs w:val="20"/>
              </w:rPr>
              <w:lastRenderedPageBreak/>
              <w:t>Outros requisitos</w:t>
            </w:r>
          </w:p>
        </w:tc>
        <w:tc>
          <w:tcPr>
            <w:tcW w:w="7938" w:type="dxa"/>
            <w:tcBorders>
              <w:top w:val="single" w:sz="12" w:space="0" w:color="000000"/>
              <w:left w:val="single" w:sz="12" w:space="0" w:color="000000"/>
              <w:bottom w:val="single" w:sz="12" w:space="0" w:color="auto"/>
              <w:right w:val="single" w:sz="12" w:space="0" w:color="000000"/>
            </w:tcBorders>
          </w:tcPr>
          <w:p w14:paraId="742483C1" w14:textId="77777777" w:rsidR="005756C4" w:rsidRPr="00553398" w:rsidRDefault="005756C4" w:rsidP="00EB2EEF">
            <w:pPr>
              <w:jc w:val="both"/>
              <w:rPr>
                <w:rFonts w:ascii="Arial Narrow" w:hAnsi="Arial Narrow"/>
                <w:b/>
                <w:sz w:val="20"/>
                <w:szCs w:val="20"/>
              </w:rPr>
            </w:pPr>
            <w:r w:rsidRPr="00553398">
              <w:rPr>
                <w:rFonts w:ascii="Arial Narrow" w:hAnsi="Arial Narrow"/>
                <w:sz w:val="20"/>
                <w:szCs w:val="20"/>
              </w:rPr>
              <w:t>Todos os equipamentos a serem entregues deverão ser idênticos, ou seja, todos os componentes externos e internos de mesmos modelos e marcas.</w:t>
            </w:r>
            <w:r w:rsidRPr="00553398">
              <w:rPr>
                <w:rFonts w:ascii="Arial Narrow" w:hAnsi="Arial Narrow"/>
                <w:b/>
                <w:sz w:val="20"/>
                <w:szCs w:val="20"/>
              </w:rPr>
              <w:t xml:space="preserve"> </w:t>
            </w:r>
            <w:r w:rsidRPr="00553398">
              <w:rPr>
                <w:rFonts w:ascii="Arial Narrow" w:hAnsi="Arial Narrow"/>
                <w:sz w:val="20"/>
                <w:szCs w:val="20"/>
              </w:rPr>
              <w:t xml:space="preserve">Caso o componente não mais se encontre disponível no mercado, admitem-se substitutos com qualidade e características idênticas ou superiores, mediante nova </w:t>
            </w:r>
            <w:proofErr w:type="spellStart"/>
            <w:proofErr w:type="gramStart"/>
            <w:r w:rsidRPr="00553398">
              <w:rPr>
                <w:rFonts w:ascii="Arial Narrow" w:hAnsi="Arial Narrow"/>
                <w:sz w:val="20"/>
                <w:szCs w:val="20"/>
              </w:rPr>
              <w:t>homologação.Todos</w:t>
            </w:r>
            <w:proofErr w:type="spellEnd"/>
            <w:proofErr w:type="gramEnd"/>
            <w:r w:rsidRPr="00553398">
              <w:rPr>
                <w:rFonts w:ascii="Arial Narrow" w:hAnsi="Arial Narrow"/>
                <w:sz w:val="20"/>
                <w:szCs w:val="20"/>
              </w:rPr>
              <w:t xml:space="preserve"> os cabos e conectores necessários ao funcionamento dos equipamentos deverão ser fornecidos com comprimento mínimo de 1,5m (um metro e cinquenta centímetros).Cabos de conexão à rede elétrica deverão seguir o padrão NBR-14136.</w:t>
            </w:r>
          </w:p>
          <w:p w14:paraId="37DF7B13" w14:textId="77777777" w:rsidR="005756C4" w:rsidRPr="0071104F" w:rsidRDefault="005756C4" w:rsidP="00EB2EEF">
            <w:pPr>
              <w:jc w:val="both"/>
              <w:rPr>
                <w:rFonts w:ascii="Arial Narrow" w:hAnsi="Arial Narrow"/>
                <w:b/>
                <w:sz w:val="20"/>
                <w:szCs w:val="20"/>
              </w:rPr>
            </w:pPr>
            <w:r w:rsidRPr="00553398">
              <w:rPr>
                <w:rFonts w:ascii="Arial Narrow" w:hAnsi="Arial Narrow"/>
                <w:sz w:val="20"/>
                <w:szCs w:val="20"/>
              </w:rPr>
              <w:t>As unidades do equipamento deverão ser entregues devidamente acondicionadas em embalagens individuais adequadas, que utilizem preferencialmente materiais recicláveis, de forma a garantir a máxima proteção durante o transporte e a armazenagem.</w:t>
            </w:r>
            <w:r>
              <w:rPr>
                <w:rFonts w:ascii="Arial Narrow" w:hAnsi="Arial Narrow"/>
                <w:b/>
                <w:sz w:val="20"/>
                <w:szCs w:val="20"/>
              </w:rPr>
              <w:t xml:space="preserve"> </w:t>
            </w:r>
            <w:r w:rsidRPr="005D402D">
              <w:rPr>
                <w:rFonts w:ascii="Arial Narrow" w:hAnsi="Arial Narrow"/>
                <w:sz w:val="20"/>
                <w:szCs w:val="20"/>
              </w:rPr>
              <w:t>O equipamento (notebook, mouse, fonte e demais componentes) obrigatoriamente deverá estar padronizado na cor preta, cinza ou preta/cinza.</w:t>
            </w:r>
            <w:r>
              <w:rPr>
                <w:rFonts w:ascii="Arial Narrow" w:hAnsi="Arial Narrow"/>
                <w:b/>
                <w:sz w:val="20"/>
                <w:szCs w:val="20"/>
              </w:rPr>
              <w:t xml:space="preserve"> </w:t>
            </w:r>
            <w:r w:rsidRPr="005D402D">
              <w:rPr>
                <w:rFonts w:ascii="Arial Narrow" w:hAnsi="Arial Narrow"/>
                <w:sz w:val="20"/>
                <w:szCs w:val="20"/>
              </w:rPr>
              <w:t>O equipamento deverá, comprovadamente, pertencer à linha corporativa, não sendo aceitos equipamentos destinados ao uso doméstico.</w:t>
            </w:r>
            <w:r>
              <w:rPr>
                <w:rFonts w:ascii="Arial Narrow" w:hAnsi="Arial Narrow"/>
                <w:b/>
                <w:sz w:val="20"/>
                <w:szCs w:val="20"/>
              </w:rPr>
              <w:t xml:space="preserve"> </w:t>
            </w:r>
            <w:r w:rsidRPr="005D402D">
              <w:rPr>
                <w:rFonts w:ascii="Arial Narrow" w:hAnsi="Arial Narrow"/>
                <w:sz w:val="20"/>
                <w:szCs w:val="20"/>
              </w:rPr>
              <w:t>Catálogo técnico oficial do produto, do Fabricante, que apresente as características técnicas em conformidade com as descritas no Edital. Caso os Catálogos Técnicos apresentados omitam alguma informação ou exigência técnica em relação aos descritivos do Edital e seus Anexos, deverá ser anexado aos mesmos a declaração do fabricante, completando estas informações, em Português. Não serão aceitos produtos descontinuados por seus fabricantes.</w:t>
            </w:r>
          </w:p>
          <w:p w14:paraId="13815A67" w14:textId="77777777" w:rsidR="005756C4" w:rsidRPr="00553398" w:rsidRDefault="005756C4" w:rsidP="00EB2EEF">
            <w:pPr>
              <w:jc w:val="both"/>
              <w:rPr>
                <w:rFonts w:ascii="Arial Narrow" w:hAnsi="Arial Narrow"/>
                <w:sz w:val="20"/>
                <w:szCs w:val="20"/>
              </w:rPr>
            </w:pPr>
          </w:p>
        </w:tc>
      </w:tr>
      <w:bookmarkEnd w:id="0"/>
    </w:tbl>
    <w:p w14:paraId="31A7222F" w14:textId="77777777" w:rsidR="003918BA" w:rsidRPr="00EA7E8E" w:rsidRDefault="003918BA" w:rsidP="003918BA">
      <w:pPr>
        <w:jc w:val="both"/>
        <w:rPr>
          <w:sz w:val="18"/>
          <w:szCs w:val="18"/>
        </w:rPr>
      </w:pPr>
    </w:p>
    <w:p w14:paraId="73D729DB" w14:textId="4B543EF1" w:rsidR="003918BA" w:rsidRDefault="003918BA" w:rsidP="003918BA">
      <w:pPr>
        <w:jc w:val="both"/>
        <w:rPr>
          <w:b/>
          <w:sz w:val="18"/>
          <w:szCs w:val="18"/>
        </w:rPr>
      </w:pPr>
      <w:r w:rsidRPr="00544E84">
        <w:rPr>
          <w:sz w:val="18"/>
          <w:szCs w:val="18"/>
        </w:rPr>
        <w:t xml:space="preserve">Em conformidade com o </w:t>
      </w:r>
      <w:proofErr w:type="gramStart"/>
      <w:r w:rsidRPr="00544E84">
        <w:rPr>
          <w:sz w:val="18"/>
          <w:szCs w:val="18"/>
        </w:rPr>
        <w:t>Edital</w:t>
      </w:r>
      <w:r w:rsidRPr="00544E84">
        <w:rPr>
          <w:i/>
          <w:sz w:val="18"/>
          <w:szCs w:val="18"/>
        </w:rPr>
        <w:t xml:space="preserve"> </w:t>
      </w:r>
      <w:r w:rsidRPr="00544E84">
        <w:rPr>
          <w:sz w:val="18"/>
          <w:szCs w:val="18"/>
        </w:rPr>
        <w:t xml:space="preserve"> os</w:t>
      </w:r>
      <w:proofErr w:type="gramEnd"/>
      <w:r w:rsidRPr="00544E84">
        <w:rPr>
          <w:sz w:val="18"/>
          <w:szCs w:val="18"/>
        </w:rPr>
        <w:t xml:space="preserve"> produtos deverão ser entregues no prazo de até </w:t>
      </w:r>
      <w:r w:rsidR="00394E5C">
        <w:rPr>
          <w:sz w:val="18"/>
          <w:szCs w:val="18"/>
        </w:rPr>
        <w:t>4</w:t>
      </w:r>
      <w:r w:rsidRPr="00544E84">
        <w:rPr>
          <w:sz w:val="18"/>
          <w:szCs w:val="18"/>
        </w:rPr>
        <w:t>5 (qu</w:t>
      </w:r>
      <w:r w:rsidR="00394E5C">
        <w:rPr>
          <w:sz w:val="18"/>
          <w:szCs w:val="18"/>
        </w:rPr>
        <w:t>arenta e cinco dias</w:t>
      </w:r>
      <w:r w:rsidRPr="00544E84">
        <w:rPr>
          <w:sz w:val="18"/>
          <w:szCs w:val="18"/>
        </w:rPr>
        <w:t>) após o recebimento do empenho</w:t>
      </w:r>
      <w:r w:rsidRPr="00544E84">
        <w:rPr>
          <w:b/>
          <w:sz w:val="18"/>
          <w:szCs w:val="18"/>
        </w:rPr>
        <w:t>.</w:t>
      </w:r>
    </w:p>
    <w:p w14:paraId="206DAD06" w14:textId="4073DCA3" w:rsidR="003918BA" w:rsidRDefault="003918BA" w:rsidP="003918BA">
      <w:pPr>
        <w:jc w:val="both"/>
        <w:rPr>
          <w:sz w:val="18"/>
          <w:szCs w:val="18"/>
        </w:rPr>
      </w:pPr>
      <w:r w:rsidRPr="00544E84">
        <w:rPr>
          <w:sz w:val="18"/>
          <w:szCs w:val="18"/>
        </w:rPr>
        <w:t>O pagamento será efetuado em até 08 (oito) dias úteis após cada entrega, mediante apresentação do competente documento fiscal</w:t>
      </w:r>
    </w:p>
    <w:p w14:paraId="37E43381" w14:textId="77777777" w:rsidR="003D1E22" w:rsidRPr="00544E84" w:rsidRDefault="003D1E22" w:rsidP="003918BA">
      <w:pPr>
        <w:jc w:val="both"/>
        <w:rPr>
          <w:sz w:val="18"/>
          <w:szCs w:val="18"/>
        </w:rPr>
      </w:pPr>
    </w:p>
    <w:p w14:paraId="2A937967" w14:textId="77777777" w:rsidR="003918BA" w:rsidRDefault="003918BA" w:rsidP="003918BA">
      <w:pPr>
        <w:ind w:right="55"/>
        <w:jc w:val="both"/>
        <w:rPr>
          <w:b/>
          <w:sz w:val="18"/>
          <w:szCs w:val="18"/>
        </w:rPr>
      </w:pPr>
    </w:p>
    <w:p w14:paraId="76A51D10" w14:textId="7CB619C3" w:rsidR="003918BA" w:rsidRDefault="003918BA" w:rsidP="003918BA">
      <w:pPr>
        <w:ind w:right="55"/>
        <w:jc w:val="both"/>
        <w:rPr>
          <w:sz w:val="18"/>
          <w:szCs w:val="18"/>
        </w:rPr>
      </w:pPr>
      <w:r w:rsidRPr="00646B8B">
        <w:rPr>
          <w:b/>
          <w:sz w:val="18"/>
          <w:szCs w:val="18"/>
        </w:rPr>
        <w:t>GABINETE DO PREFEITO MUNICIPAL DE COTIPORÃ</w:t>
      </w:r>
      <w:r w:rsidRPr="00646B8B">
        <w:rPr>
          <w:sz w:val="18"/>
          <w:szCs w:val="18"/>
        </w:rPr>
        <w:t xml:space="preserve">, aos </w:t>
      </w:r>
      <w:r>
        <w:rPr>
          <w:sz w:val="18"/>
          <w:szCs w:val="18"/>
        </w:rPr>
        <w:t>dezesseis dias do mês de março de 2021</w:t>
      </w:r>
    </w:p>
    <w:p w14:paraId="71074041" w14:textId="3E38E58A" w:rsidR="003918BA" w:rsidRDefault="003918BA" w:rsidP="003918BA">
      <w:pPr>
        <w:ind w:right="55"/>
        <w:jc w:val="both"/>
        <w:rPr>
          <w:sz w:val="18"/>
          <w:szCs w:val="18"/>
        </w:rPr>
      </w:pPr>
    </w:p>
    <w:p w14:paraId="65EDEB34" w14:textId="77777777" w:rsidR="003918BA" w:rsidRPr="00646B8B" w:rsidRDefault="003918BA" w:rsidP="005756C4">
      <w:pPr>
        <w:ind w:right="55"/>
        <w:rPr>
          <w:sz w:val="18"/>
          <w:szCs w:val="18"/>
        </w:rPr>
      </w:pPr>
    </w:p>
    <w:p w14:paraId="736518EE" w14:textId="77777777" w:rsidR="003918BA" w:rsidRPr="00F8060C" w:rsidRDefault="003918BA" w:rsidP="003918BA">
      <w:pPr>
        <w:jc w:val="center"/>
        <w:rPr>
          <w:sz w:val="18"/>
          <w:szCs w:val="18"/>
        </w:rPr>
      </w:pPr>
    </w:p>
    <w:p w14:paraId="087A6A03" w14:textId="77777777" w:rsidR="003918BA" w:rsidRDefault="003918BA" w:rsidP="003918BA">
      <w:pPr>
        <w:jc w:val="center"/>
        <w:rPr>
          <w:b/>
          <w:i/>
          <w:sz w:val="18"/>
          <w:szCs w:val="18"/>
        </w:rPr>
      </w:pPr>
      <w:r>
        <w:rPr>
          <w:b/>
          <w:i/>
          <w:sz w:val="18"/>
          <w:szCs w:val="18"/>
        </w:rPr>
        <w:t>IVELTON MATEUS ZARDO</w:t>
      </w:r>
    </w:p>
    <w:p w14:paraId="7143B51A" w14:textId="26466B96" w:rsidR="00C94020" w:rsidRPr="005756C4" w:rsidRDefault="003918BA" w:rsidP="005756C4">
      <w:pPr>
        <w:jc w:val="center"/>
        <w:rPr>
          <w:b/>
          <w:sz w:val="18"/>
          <w:szCs w:val="18"/>
        </w:rPr>
      </w:pPr>
      <w:r w:rsidRPr="00F8060C">
        <w:rPr>
          <w:sz w:val="18"/>
          <w:szCs w:val="18"/>
        </w:rPr>
        <w:t>Prefeito Municipal</w:t>
      </w:r>
    </w:p>
    <w:sectPr w:rsidR="00C94020" w:rsidRPr="005756C4" w:rsidSect="00FC1BDD">
      <w:headerReference w:type="even" r:id="rId14"/>
      <w:headerReference w:type="default" r:id="rId15"/>
      <w:footerReference w:type="even" r:id="rId16"/>
      <w:footerReference w:type="default" r:id="rId17"/>
      <w:headerReference w:type="first" r:id="rId18"/>
      <w:footerReference w:type="first" r:id="rId1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A94C4" w14:textId="77777777" w:rsidR="00B1629A" w:rsidRDefault="00B1629A" w:rsidP="00965D67">
      <w:r>
        <w:separator/>
      </w:r>
    </w:p>
  </w:endnote>
  <w:endnote w:type="continuationSeparator" w:id="0">
    <w:p w14:paraId="31C70998" w14:textId="77777777" w:rsidR="00B1629A" w:rsidRDefault="00B1629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5D3D3" w14:textId="77777777" w:rsidR="0038181B" w:rsidRDefault="0038181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5621"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14A90E1A" w14:textId="77777777" w:rsidR="00965D67" w:rsidRPr="000F6831" w:rsidRDefault="00042173" w:rsidP="00965D67">
    <w:pPr>
      <w:pStyle w:val="Rodap"/>
      <w:jc w:val="center"/>
      <w:rPr>
        <w:rFonts w:ascii="Arial Narrow" w:hAnsi="Arial Narrow" w:cs="Miriam Fixed"/>
        <w:lang w:val="en-US"/>
      </w:rPr>
    </w:pPr>
    <w:r w:rsidRPr="000F6831">
      <w:rPr>
        <w:rFonts w:ascii="Arial Narrow" w:hAnsi="Arial Narrow" w:cs="Miriam Fixed"/>
        <w:lang w:val="en-US"/>
      </w:rPr>
      <w:t>www.cotipora.rs.gov.br</w:t>
    </w:r>
    <w:r w:rsidR="00965D67" w:rsidRPr="000F6831">
      <w:rPr>
        <w:rFonts w:ascii="Arial Narrow" w:hAnsi="Arial Narrow" w:cs="Miriam Fixed"/>
        <w:lang w:val="en-US"/>
      </w:rPr>
      <w:t xml:space="preserve"> </w:t>
    </w:r>
    <w:r w:rsidRPr="000F6831">
      <w:rPr>
        <w:rFonts w:ascii="Arial Narrow" w:hAnsi="Arial Narrow" w:cs="Miriam Fixed"/>
        <w:lang w:val="en-US"/>
      </w:rPr>
      <w:t xml:space="preserve">- </w:t>
    </w:r>
    <w:r w:rsidR="00965D67" w:rsidRPr="000F6831">
      <w:rPr>
        <w:rFonts w:ascii="Arial Narrow" w:hAnsi="Arial Narrow" w:cs="Miriam Fixed"/>
        <w:lang w:val="en-US"/>
      </w:rPr>
      <w:t>CEP: 95.335-000 – COTIPORÃ/RS</w:t>
    </w:r>
  </w:p>
  <w:p w14:paraId="348EB451" w14:textId="77777777" w:rsidR="00965D67" w:rsidRPr="000F6831"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AE1F" w14:textId="77777777" w:rsidR="0038181B" w:rsidRDefault="003818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C8AA5" w14:textId="77777777" w:rsidR="00B1629A" w:rsidRDefault="00B1629A" w:rsidP="00965D67">
      <w:r>
        <w:separator/>
      </w:r>
    </w:p>
  </w:footnote>
  <w:footnote w:type="continuationSeparator" w:id="0">
    <w:p w14:paraId="0489707D" w14:textId="77777777" w:rsidR="00B1629A" w:rsidRDefault="00B1629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3F56" w14:textId="77777777" w:rsidR="0038181B" w:rsidRDefault="003818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02C4" w14:textId="18C91F45" w:rsidR="00070BD7" w:rsidRPr="001D0723" w:rsidRDefault="00070BD7" w:rsidP="00070BD7">
    <w:pPr>
      <w:pStyle w:val="Cabealho"/>
      <w:jc w:val="center"/>
      <w:rPr>
        <w:rFonts w:ascii="Verdana" w:hAnsi="Verdana" w:cs="Aharoni"/>
        <w:sz w:val="28"/>
        <w:szCs w:val="28"/>
      </w:rPr>
    </w:pPr>
    <w:bookmarkStart w:id="3" w:name="_Hlk57300958"/>
    <w:bookmarkStart w:id="4" w:name="_Hlk57300959"/>
    <w:bookmarkStart w:id="5" w:name="_Hlk57301061"/>
    <w:bookmarkStart w:id="6" w:name="_Hlk57301062"/>
    <w:r>
      <w:rPr>
        <w:rFonts w:ascii="Verdana" w:hAnsi="Verdana" w:cs="Aharoni"/>
        <w:sz w:val="28"/>
        <w:szCs w:val="28"/>
      </w:rPr>
      <w:t xml:space="preserve">              </w:t>
    </w:r>
    <w:bookmarkStart w:id="7" w:name="_Hlk44499406"/>
    <w:bookmarkStart w:id="8" w:name="_Hlk44499407"/>
    <w:r w:rsidRPr="001D0723">
      <w:rPr>
        <w:rFonts w:ascii="Verdana" w:hAnsi="Verdana" w:cs="Aharoni"/>
        <w:sz w:val="28"/>
        <w:szCs w:val="28"/>
      </w:rPr>
      <w:t>ESTADO DO RIO GRANDE DO SUL</w:t>
    </w:r>
  </w:p>
  <w:p w14:paraId="41EAFAC3" w14:textId="1C8DCEE1" w:rsidR="00070BD7" w:rsidRPr="001D0723" w:rsidRDefault="00070BD7" w:rsidP="00070BD7">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6EA2D17F" w14:textId="77777777" w:rsidR="00070BD7" w:rsidRPr="00CB6A1F" w:rsidRDefault="00070BD7" w:rsidP="00070BD7">
    <w:pPr>
      <w:pStyle w:val="Cabealho"/>
      <w:jc w:val="center"/>
      <w:rPr>
        <w:rFonts w:ascii="Verdana" w:hAnsi="Verdana" w:cs="Aharoni"/>
        <w:b/>
        <w:sz w:val="32"/>
        <w:szCs w:val="32"/>
      </w:rPr>
    </w:pPr>
    <w:r>
      <w:rPr>
        <w:rFonts w:ascii="Aharoni" w:hAnsi="Aharoni" w:cs="Aharoni"/>
        <w:sz w:val="30"/>
        <w:szCs w:val="30"/>
      </w:rPr>
      <w:t xml:space="preserve">                       </w:t>
    </w:r>
  </w:p>
  <w:p w14:paraId="774BD9FD" w14:textId="77777777" w:rsidR="00070BD7" w:rsidRPr="00CB6A1F" w:rsidRDefault="00070BD7" w:rsidP="00070BD7">
    <w:pPr>
      <w:pStyle w:val="Cabealho"/>
      <w:rPr>
        <w:rFonts w:ascii="Verdana" w:hAnsi="Verdana" w:cs="Aharoni"/>
        <w:b/>
        <w:sz w:val="32"/>
        <w:szCs w:val="32"/>
      </w:rPr>
    </w:pPr>
  </w:p>
  <w:p w14:paraId="33F6ABA2" w14:textId="77777777" w:rsidR="00070BD7" w:rsidRPr="000A5DF0" w:rsidRDefault="00070BD7" w:rsidP="00070BD7">
    <w:pPr>
      <w:pStyle w:val="Cabealho"/>
      <w:rPr>
        <w:szCs w:val="26"/>
      </w:rPr>
    </w:pPr>
    <w:r w:rsidRPr="000A5DF0">
      <w:rPr>
        <w:noProof/>
        <w:szCs w:val="26"/>
        <w:lang w:eastAsia="pt-BR"/>
      </w:rPr>
      <w:drawing>
        <wp:anchor distT="0" distB="0" distL="114300" distR="114300" simplePos="0" relativeHeight="251658752" behindDoc="0" locked="0" layoutInCell="1" allowOverlap="1" wp14:anchorId="19232EE9" wp14:editId="75CB57F0">
          <wp:simplePos x="0" y="0"/>
          <wp:positionH relativeFrom="column">
            <wp:posOffset>112533</wp:posOffset>
          </wp:positionH>
          <wp:positionV relativeFrom="paragraph">
            <wp:posOffset>-1033504</wp:posOffset>
          </wp:positionV>
          <wp:extent cx="1189548" cy="1192696"/>
          <wp:effectExtent l="19050" t="0" r="0" b="0"/>
          <wp:wrapNone/>
          <wp:docPr id="15" name="Imagem 15"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7"/>
    <w:bookmarkEnd w:id="8"/>
  </w:p>
  <w:bookmarkEnd w:id="3"/>
  <w:bookmarkEnd w:id="4"/>
  <w:bookmarkEnd w:id="5"/>
  <w:bookmarkEnd w:id="6"/>
  <w:p w14:paraId="526931A3" w14:textId="4B91283E" w:rsidR="00965D67" w:rsidRPr="00070BD7" w:rsidRDefault="00965D67" w:rsidP="00070B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22531" w14:textId="77777777" w:rsidR="0038181B" w:rsidRDefault="003818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0427"/>
    <w:rsid w:val="00042173"/>
    <w:rsid w:val="000434F2"/>
    <w:rsid w:val="00043F17"/>
    <w:rsid w:val="00046C00"/>
    <w:rsid w:val="00065BFD"/>
    <w:rsid w:val="00070BD7"/>
    <w:rsid w:val="0008465D"/>
    <w:rsid w:val="000C68A2"/>
    <w:rsid w:val="000E41BE"/>
    <w:rsid w:val="000E623A"/>
    <w:rsid w:val="000F6831"/>
    <w:rsid w:val="00120407"/>
    <w:rsid w:val="0012624A"/>
    <w:rsid w:val="0013148B"/>
    <w:rsid w:val="00134260"/>
    <w:rsid w:val="001742DB"/>
    <w:rsid w:val="00174DAB"/>
    <w:rsid w:val="001A407A"/>
    <w:rsid w:val="001D4354"/>
    <w:rsid w:val="00204530"/>
    <w:rsid w:val="0023218B"/>
    <w:rsid w:val="002327E9"/>
    <w:rsid w:val="00261B06"/>
    <w:rsid w:val="00262171"/>
    <w:rsid w:val="00290A50"/>
    <w:rsid w:val="002A5C5F"/>
    <w:rsid w:val="002C433C"/>
    <w:rsid w:val="00311499"/>
    <w:rsid w:val="00311DF6"/>
    <w:rsid w:val="00311ED2"/>
    <w:rsid w:val="00336AAA"/>
    <w:rsid w:val="00347B53"/>
    <w:rsid w:val="00374666"/>
    <w:rsid w:val="0038181B"/>
    <w:rsid w:val="003918BA"/>
    <w:rsid w:val="003924B1"/>
    <w:rsid w:val="00394E5C"/>
    <w:rsid w:val="00395380"/>
    <w:rsid w:val="003A00D6"/>
    <w:rsid w:val="003A4EBE"/>
    <w:rsid w:val="003B2E5D"/>
    <w:rsid w:val="003C2A24"/>
    <w:rsid w:val="003C4477"/>
    <w:rsid w:val="003C70D1"/>
    <w:rsid w:val="003D1E22"/>
    <w:rsid w:val="003E13A7"/>
    <w:rsid w:val="003E2DC4"/>
    <w:rsid w:val="003F2E29"/>
    <w:rsid w:val="003F43FD"/>
    <w:rsid w:val="00432890"/>
    <w:rsid w:val="004438C6"/>
    <w:rsid w:val="00447C23"/>
    <w:rsid w:val="004578F7"/>
    <w:rsid w:val="00466954"/>
    <w:rsid w:val="00471E7F"/>
    <w:rsid w:val="004D21BC"/>
    <w:rsid w:val="004D281B"/>
    <w:rsid w:val="004D4704"/>
    <w:rsid w:val="004E28E9"/>
    <w:rsid w:val="004F4786"/>
    <w:rsid w:val="00515AFD"/>
    <w:rsid w:val="00535013"/>
    <w:rsid w:val="00571AA3"/>
    <w:rsid w:val="005740AF"/>
    <w:rsid w:val="005756C4"/>
    <w:rsid w:val="00575785"/>
    <w:rsid w:val="005806AE"/>
    <w:rsid w:val="00587363"/>
    <w:rsid w:val="005A04F5"/>
    <w:rsid w:val="005A2E8A"/>
    <w:rsid w:val="005D547A"/>
    <w:rsid w:val="005E1223"/>
    <w:rsid w:val="005F6DE2"/>
    <w:rsid w:val="00603878"/>
    <w:rsid w:val="00611A8A"/>
    <w:rsid w:val="006167B2"/>
    <w:rsid w:val="006170F5"/>
    <w:rsid w:val="00620279"/>
    <w:rsid w:val="00626EFE"/>
    <w:rsid w:val="00632A01"/>
    <w:rsid w:val="00640269"/>
    <w:rsid w:val="00640FAA"/>
    <w:rsid w:val="00645899"/>
    <w:rsid w:val="00662227"/>
    <w:rsid w:val="00673FFD"/>
    <w:rsid w:val="006A2438"/>
    <w:rsid w:val="006D2785"/>
    <w:rsid w:val="006E52E7"/>
    <w:rsid w:val="007039A0"/>
    <w:rsid w:val="007070AD"/>
    <w:rsid w:val="00715D79"/>
    <w:rsid w:val="00741F7B"/>
    <w:rsid w:val="00762B76"/>
    <w:rsid w:val="00787AE7"/>
    <w:rsid w:val="007C7BB7"/>
    <w:rsid w:val="007F4220"/>
    <w:rsid w:val="0084175A"/>
    <w:rsid w:val="00851D42"/>
    <w:rsid w:val="0086636F"/>
    <w:rsid w:val="00866C36"/>
    <w:rsid w:val="00890A65"/>
    <w:rsid w:val="00892162"/>
    <w:rsid w:val="008931A3"/>
    <w:rsid w:val="00894DED"/>
    <w:rsid w:val="008B003B"/>
    <w:rsid w:val="008D379A"/>
    <w:rsid w:val="008E7B83"/>
    <w:rsid w:val="00911283"/>
    <w:rsid w:val="00916D0F"/>
    <w:rsid w:val="00921AAC"/>
    <w:rsid w:val="00924AE9"/>
    <w:rsid w:val="00925833"/>
    <w:rsid w:val="00926F88"/>
    <w:rsid w:val="00934585"/>
    <w:rsid w:val="0095584C"/>
    <w:rsid w:val="00965D67"/>
    <w:rsid w:val="009C1B34"/>
    <w:rsid w:val="009D1A7B"/>
    <w:rsid w:val="00A06532"/>
    <w:rsid w:val="00A2079B"/>
    <w:rsid w:val="00A30FF9"/>
    <w:rsid w:val="00A36AEE"/>
    <w:rsid w:val="00A407BC"/>
    <w:rsid w:val="00A56D8E"/>
    <w:rsid w:val="00A671C1"/>
    <w:rsid w:val="00A77965"/>
    <w:rsid w:val="00A839D5"/>
    <w:rsid w:val="00A96483"/>
    <w:rsid w:val="00AA4845"/>
    <w:rsid w:val="00AA59B2"/>
    <w:rsid w:val="00AB3C7C"/>
    <w:rsid w:val="00AC0A6F"/>
    <w:rsid w:val="00AD19C5"/>
    <w:rsid w:val="00AD5D48"/>
    <w:rsid w:val="00AF2FB6"/>
    <w:rsid w:val="00B01613"/>
    <w:rsid w:val="00B14BE3"/>
    <w:rsid w:val="00B1629A"/>
    <w:rsid w:val="00B351DB"/>
    <w:rsid w:val="00B43018"/>
    <w:rsid w:val="00B62BE7"/>
    <w:rsid w:val="00B93557"/>
    <w:rsid w:val="00BA3A10"/>
    <w:rsid w:val="00BB2B8B"/>
    <w:rsid w:val="00BE2BB3"/>
    <w:rsid w:val="00C1152C"/>
    <w:rsid w:val="00C15ABC"/>
    <w:rsid w:val="00C15D37"/>
    <w:rsid w:val="00C176C4"/>
    <w:rsid w:val="00C42F93"/>
    <w:rsid w:val="00C54E29"/>
    <w:rsid w:val="00C5513F"/>
    <w:rsid w:val="00C623AD"/>
    <w:rsid w:val="00C712A1"/>
    <w:rsid w:val="00C83682"/>
    <w:rsid w:val="00C85192"/>
    <w:rsid w:val="00C85C31"/>
    <w:rsid w:val="00C94020"/>
    <w:rsid w:val="00C9689B"/>
    <w:rsid w:val="00CD5164"/>
    <w:rsid w:val="00CE1C93"/>
    <w:rsid w:val="00CF5A76"/>
    <w:rsid w:val="00D012E1"/>
    <w:rsid w:val="00D12562"/>
    <w:rsid w:val="00D24DBD"/>
    <w:rsid w:val="00D54297"/>
    <w:rsid w:val="00DB46B9"/>
    <w:rsid w:val="00DF7D90"/>
    <w:rsid w:val="00E303BD"/>
    <w:rsid w:val="00E54327"/>
    <w:rsid w:val="00E55B65"/>
    <w:rsid w:val="00E746B7"/>
    <w:rsid w:val="00E90362"/>
    <w:rsid w:val="00EA023F"/>
    <w:rsid w:val="00EA3127"/>
    <w:rsid w:val="00EB29E8"/>
    <w:rsid w:val="00EE70D4"/>
    <w:rsid w:val="00F21447"/>
    <w:rsid w:val="00F25922"/>
    <w:rsid w:val="00F268DD"/>
    <w:rsid w:val="00F4499F"/>
    <w:rsid w:val="00F66D0C"/>
    <w:rsid w:val="00F7520E"/>
    <w:rsid w:val="00F90EED"/>
    <w:rsid w:val="00F91D5A"/>
    <w:rsid w:val="00FA3EC4"/>
    <w:rsid w:val="00FB11FA"/>
    <w:rsid w:val="00FB1E27"/>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qFormat/>
    <w:rsid w:val="00C1152C"/>
    <w:pPr>
      <w:ind w:left="354"/>
      <w:outlineLvl w:val="2"/>
    </w:pPr>
    <w:rPr>
      <w:b/>
      <w:szCs w:val="20"/>
    </w:rPr>
  </w:style>
  <w:style w:type="paragraph" w:styleId="Ttulo4">
    <w:name w:val="heading 4"/>
    <w:basedOn w:val="Normal"/>
    <w:next w:val="Recuonormal"/>
    <w:link w:val="Ttulo4Char"/>
    <w:qFormat/>
    <w:rsid w:val="00C1152C"/>
    <w:pPr>
      <w:ind w:left="354"/>
      <w:outlineLvl w:val="3"/>
    </w:pPr>
    <w:rPr>
      <w:szCs w:val="20"/>
      <w:u w:val="single"/>
    </w:rPr>
  </w:style>
  <w:style w:type="paragraph" w:styleId="Ttulo5">
    <w:name w:val="heading 5"/>
    <w:basedOn w:val="Normal"/>
    <w:next w:val="Normal"/>
    <w:link w:val="Ttulo5Char"/>
    <w:uiPriority w:val="9"/>
    <w:semiHidden/>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unhideWhenUsed/>
    <w:rsid w:val="00C1152C"/>
    <w:pPr>
      <w:spacing w:after="120"/>
    </w:pPr>
  </w:style>
  <w:style w:type="character" w:customStyle="1" w:styleId="CorpodetextoChar">
    <w:name w:val="Corpo de texto Char"/>
    <w:basedOn w:val="Fontepargpadro"/>
    <w:link w:val="Corpodetexto"/>
    <w:uiPriority w:val="99"/>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C1152C"/>
    <w:pPr>
      <w:spacing w:after="120" w:line="480" w:lineRule="auto"/>
    </w:pPr>
  </w:style>
  <w:style w:type="character" w:customStyle="1" w:styleId="Corpodetexto2Char">
    <w:name w:val="Corpo de texto 2 Char"/>
    <w:basedOn w:val="Fontepargpadro"/>
    <w:link w:val="Corpodetexto2"/>
    <w:uiPriority w:val="99"/>
    <w:semiHidden/>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C1152C"/>
    <w:pPr>
      <w:spacing w:after="120"/>
      <w:ind w:left="283"/>
    </w:pPr>
  </w:style>
  <w:style w:type="character" w:customStyle="1" w:styleId="RecuodecorpodetextoChar">
    <w:name w:val="Recuo de corpo de texto Char"/>
    <w:basedOn w:val="Fontepargpadro"/>
    <w:link w:val="Recuodecorpodetexto"/>
    <w:uiPriority w:val="99"/>
    <w:semiHidden/>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semiHidden/>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iPriority w:val="99"/>
    <w:semiHidden/>
    <w:unhideWhenUsed/>
    <w:rsid w:val="00EA3127"/>
    <w:pPr>
      <w:spacing w:after="120"/>
    </w:pPr>
    <w:rPr>
      <w:sz w:val="16"/>
      <w:szCs w:val="16"/>
    </w:rPr>
  </w:style>
  <w:style w:type="character" w:customStyle="1" w:styleId="Corpodetexto3Char">
    <w:name w:val="Corpo de texto 3 Char"/>
    <w:basedOn w:val="Fontepargpadro"/>
    <w:link w:val="Corpodetexto3"/>
    <w:uiPriority w:val="99"/>
    <w:semiHidden/>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3918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5756C4"/>
    <w:pPr>
      <w:ind w:firstLine="1418"/>
    </w:pPr>
    <w:rPr>
      <w:szCs w:val="20"/>
    </w:rPr>
  </w:style>
  <w:style w:type="character" w:customStyle="1" w:styleId="SubttuloChar">
    <w:name w:val="Subtítulo Char"/>
    <w:basedOn w:val="Fontepargpadro"/>
    <w:link w:val="Subttulo"/>
    <w:rsid w:val="005756C4"/>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575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energystar.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sponsiblebusiness.org/about/memb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about/lis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rtner.microsoft.com/en-us/dashboard/hardware/search/c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efi.org/membe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7FDB5-299E-4101-91A7-545BB3B6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3</Pages>
  <Words>2139</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93</cp:revision>
  <cp:lastPrinted>2021-03-16T17:53:00Z</cp:lastPrinted>
  <dcterms:created xsi:type="dcterms:W3CDTF">2013-08-29T16:25:00Z</dcterms:created>
  <dcterms:modified xsi:type="dcterms:W3CDTF">2021-03-16T18:00:00Z</dcterms:modified>
</cp:coreProperties>
</file>