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70032" w14:textId="4FCC35F4" w:rsidR="00850597" w:rsidRDefault="004B7715" w:rsidP="008505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0"/>
          <w:u w:val="single"/>
        </w:rPr>
      </w:pPr>
      <w:r>
        <w:rPr>
          <w:rFonts w:ascii="Arial Narrow" w:hAnsi="Arial Narrow" w:cs="Arial"/>
          <w:szCs w:val="24"/>
        </w:rPr>
        <w:t xml:space="preserve">                                              </w:t>
      </w:r>
    </w:p>
    <w:p w14:paraId="1168F975" w14:textId="771D70CF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5059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AB2CFD">
        <w:rPr>
          <w:rFonts w:ascii="Arial Narrow" w:hAnsi="Arial Narrow"/>
          <w:b/>
          <w:sz w:val="20"/>
          <w:szCs w:val="20"/>
          <w:u w:val="single"/>
        </w:rPr>
        <w:t>024/2024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0400F75F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7C36B5">
        <w:rPr>
          <w:rFonts w:ascii="Arial Narrow" w:hAnsi="Arial Narrow" w:cs="Arial"/>
          <w:color w:val="000000"/>
          <w:sz w:val="20"/>
          <w:szCs w:val="20"/>
        </w:rPr>
        <w:t>10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850597">
        <w:rPr>
          <w:rFonts w:ascii="Arial Narrow" w:hAnsi="Arial Narrow" w:cs="Arial"/>
          <w:b/>
          <w:color w:val="000000"/>
          <w:sz w:val="20"/>
          <w:szCs w:val="20"/>
        </w:rPr>
        <w:t>TB SUPRIMENTOS PARA INFORMATICA LTDA EPP</w:t>
      </w:r>
      <w:r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64A7CA2C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850597">
        <w:rPr>
          <w:rFonts w:ascii="Arial Narrow" w:hAnsi="Arial Narrow" w:cs="Arial"/>
          <w:sz w:val="20"/>
          <w:szCs w:val="20"/>
        </w:rPr>
        <w:t xml:space="preserve"> </w:t>
      </w:r>
      <w:r w:rsidR="00850597" w:rsidRPr="00850597">
        <w:rPr>
          <w:rFonts w:ascii="Arial Narrow" w:hAnsi="Arial Narrow" w:cs="Arial"/>
          <w:b/>
          <w:bCs/>
          <w:sz w:val="20"/>
          <w:szCs w:val="20"/>
        </w:rPr>
        <w:t>TB SUPRIMENTOS PARA INFORMATICA LTDA EPP</w:t>
      </w:r>
      <w:r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850597" w:rsidRPr="00850597">
        <w:rPr>
          <w:rFonts w:ascii="Arial Narrow" w:hAnsi="Arial Narrow" w:cs="Arial"/>
          <w:bCs/>
          <w:sz w:val="20"/>
          <w:szCs w:val="20"/>
        </w:rPr>
        <w:t xml:space="preserve">24.291.879/0001-36, </w:t>
      </w:r>
      <w:r>
        <w:rPr>
          <w:rFonts w:ascii="Arial Narrow" w:hAnsi="Arial Narrow" w:cs="Arial"/>
          <w:sz w:val="20"/>
          <w:szCs w:val="20"/>
        </w:rPr>
        <w:t xml:space="preserve">estabelecida na Rua </w:t>
      </w:r>
      <w:r w:rsidR="00850597">
        <w:rPr>
          <w:rFonts w:ascii="Arial Narrow" w:hAnsi="Arial Narrow" w:cs="Arial"/>
          <w:sz w:val="20"/>
          <w:szCs w:val="20"/>
        </w:rPr>
        <w:t>Jacob Maria Pavan (</w:t>
      </w:r>
      <w:proofErr w:type="spellStart"/>
      <w:r w:rsidR="00850597">
        <w:rPr>
          <w:rFonts w:ascii="Arial Narrow" w:hAnsi="Arial Narrow" w:cs="Arial"/>
          <w:sz w:val="20"/>
          <w:szCs w:val="20"/>
        </w:rPr>
        <w:t>Lot</w:t>
      </w:r>
      <w:proofErr w:type="spellEnd"/>
      <w:r w:rsidR="00850597">
        <w:rPr>
          <w:rFonts w:ascii="Arial Narrow" w:hAnsi="Arial Narrow" w:cs="Arial"/>
          <w:sz w:val="20"/>
          <w:szCs w:val="20"/>
        </w:rPr>
        <w:t xml:space="preserve"> JD Esmeralda)</w:t>
      </w:r>
      <w:r>
        <w:rPr>
          <w:rFonts w:ascii="Arial Narrow" w:hAnsi="Arial Narrow" w:cs="Arial"/>
          <w:sz w:val="20"/>
          <w:szCs w:val="20"/>
        </w:rPr>
        <w:t xml:space="preserve">, nº </w:t>
      </w:r>
      <w:r w:rsidR="00850597">
        <w:rPr>
          <w:rFonts w:ascii="Arial Narrow" w:hAnsi="Arial Narrow" w:cs="Arial"/>
          <w:sz w:val="20"/>
          <w:szCs w:val="20"/>
        </w:rPr>
        <w:t>55</w:t>
      </w:r>
      <w:r>
        <w:rPr>
          <w:rFonts w:ascii="Arial Narrow" w:hAnsi="Arial Narrow" w:cs="Arial"/>
          <w:sz w:val="20"/>
          <w:szCs w:val="20"/>
        </w:rPr>
        <w:t xml:space="preserve">, Bairro </w:t>
      </w:r>
      <w:r w:rsidR="00850597">
        <w:rPr>
          <w:rFonts w:ascii="Arial Narrow" w:hAnsi="Arial Narrow" w:cs="Arial"/>
          <w:sz w:val="20"/>
          <w:szCs w:val="20"/>
        </w:rPr>
        <w:t>Interlagos,</w:t>
      </w:r>
      <w:r>
        <w:rPr>
          <w:rFonts w:ascii="Arial Narrow" w:hAnsi="Arial Narrow" w:cs="Arial"/>
          <w:sz w:val="20"/>
          <w:szCs w:val="20"/>
        </w:rPr>
        <w:t xml:space="preserve"> na cidade de </w:t>
      </w:r>
      <w:r w:rsidR="00850597">
        <w:rPr>
          <w:rFonts w:ascii="Arial Narrow" w:hAnsi="Arial Narrow" w:cs="Arial"/>
          <w:sz w:val="20"/>
          <w:szCs w:val="20"/>
        </w:rPr>
        <w:t>Caxias do Sul (RS)</w:t>
      </w:r>
      <w:r>
        <w:rPr>
          <w:rFonts w:ascii="Arial Narrow" w:hAnsi="Arial Narrow" w:cs="Arial"/>
          <w:sz w:val="20"/>
          <w:szCs w:val="20"/>
        </w:rPr>
        <w:t xml:space="preserve">, neste ato representada pelo Sr. </w:t>
      </w:r>
      <w:r w:rsidR="000C6912">
        <w:rPr>
          <w:rFonts w:ascii="Arial Narrow" w:hAnsi="Arial Narrow" w:cs="Arial"/>
          <w:sz w:val="20"/>
          <w:szCs w:val="20"/>
        </w:rPr>
        <w:t>Volnei Kruger</w:t>
      </w:r>
      <w:r>
        <w:rPr>
          <w:rFonts w:ascii="Arial Narrow" w:hAnsi="Arial Narrow" w:cs="Arial"/>
          <w:sz w:val="20"/>
          <w:szCs w:val="20"/>
        </w:rPr>
        <w:t xml:space="preserve">, brasileiro, </w:t>
      </w:r>
      <w:r w:rsidR="000C6912">
        <w:rPr>
          <w:rFonts w:ascii="Arial Narrow" w:hAnsi="Arial Narrow" w:cs="Arial"/>
          <w:sz w:val="20"/>
          <w:szCs w:val="20"/>
        </w:rPr>
        <w:t>solteiro</w:t>
      </w:r>
      <w:r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0C6912">
        <w:rPr>
          <w:rFonts w:ascii="Arial Narrow" w:hAnsi="Arial Narrow" w:cs="Arial"/>
          <w:sz w:val="20"/>
          <w:szCs w:val="20"/>
        </w:rPr>
        <w:t xml:space="preserve">997.140.860-00, </w:t>
      </w:r>
      <w:r>
        <w:rPr>
          <w:rFonts w:ascii="Arial Narrow" w:hAnsi="Arial Narrow" w:cs="Arial"/>
          <w:sz w:val="20"/>
          <w:szCs w:val="20"/>
        </w:rPr>
        <w:t xml:space="preserve">carteira de identidade nº </w:t>
      </w:r>
      <w:r w:rsidR="000C6912">
        <w:rPr>
          <w:rFonts w:ascii="Arial Narrow" w:hAnsi="Arial Narrow" w:cs="Arial"/>
          <w:sz w:val="20"/>
          <w:szCs w:val="20"/>
        </w:rPr>
        <w:t>306.796.223-7</w:t>
      </w:r>
      <w:r>
        <w:rPr>
          <w:rFonts w:ascii="Arial Narrow" w:hAnsi="Arial Narrow" w:cs="Arial"/>
          <w:sz w:val="20"/>
          <w:szCs w:val="20"/>
        </w:rPr>
        <w:t xml:space="preserve"> expedida pela </w:t>
      </w:r>
      <w:r w:rsidR="000C6912">
        <w:rPr>
          <w:rFonts w:ascii="Arial Narrow" w:hAnsi="Arial Narrow" w:cs="Arial"/>
          <w:sz w:val="20"/>
          <w:szCs w:val="20"/>
        </w:rPr>
        <w:t>SSTC-RS</w:t>
      </w:r>
      <w:r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B5E54">
        <w:rPr>
          <w:rFonts w:ascii="Arial Narrow" w:hAnsi="Arial Narrow" w:cs="Arial"/>
          <w:bCs/>
          <w:color w:val="000000"/>
          <w:sz w:val="20"/>
          <w:szCs w:val="20"/>
        </w:rPr>
        <w:t>10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3D17DE">
        <w:rPr>
          <w:rFonts w:ascii="Arial Narrow" w:hAnsi="Arial Narrow" w:cs="Arial"/>
          <w:bCs/>
          <w:color w:val="000000"/>
          <w:sz w:val="20"/>
          <w:szCs w:val="20"/>
        </w:rPr>
        <w:t>395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608CB5" w14:textId="2865EC1B" w:rsidR="003D17DE" w:rsidRPr="003D17DE" w:rsidRDefault="003D17DE" w:rsidP="003D17DE">
      <w:pPr>
        <w:jc w:val="both"/>
        <w:rPr>
          <w:rFonts w:ascii="Arial Narrow" w:hAnsi="Arial Narrow" w:cs="Arial"/>
          <w:sz w:val="20"/>
          <w:szCs w:val="20"/>
        </w:rPr>
      </w:pPr>
      <w:r w:rsidRPr="003D17DE">
        <w:rPr>
          <w:rFonts w:ascii="Arial Narrow" w:hAnsi="Arial Narrow" w:cs="Arial"/>
          <w:b/>
          <w:bCs/>
          <w:sz w:val="20"/>
          <w:szCs w:val="20"/>
        </w:rPr>
        <w:t>1.1.</w:t>
      </w:r>
      <w:r w:rsidR="00AB1AD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B1AD1" w:rsidRPr="00AB1AD1">
        <w:rPr>
          <w:rFonts w:ascii="Arial Narrow" w:hAnsi="Arial Narrow" w:cs="Arial"/>
          <w:sz w:val="20"/>
          <w:szCs w:val="20"/>
        </w:rPr>
        <w:t xml:space="preserve">A presente ATA tem por objeto </w:t>
      </w:r>
      <w:proofErr w:type="gramStart"/>
      <w:r w:rsidR="00AB1AD1" w:rsidRPr="00AB1AD1">
        <w:rPr>
          <w:rFonts w:ascii="Arial Narrow" w:hAnsi="Arial Narrow" w:cs="Arial"/>
          <w:sz w:val="20"/>
          <w:szCs w:val="20"/>
        </w:rPr>
        <w:t>o</w:t>
      </w:r>
      <w:r w:rsidR="00AB1AD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 REGISTRO</w:t>
      </w:r>
      <w:proofErr w:type="gramEnd"/>
      <w:r w:rsidRPr="003D17DE">
        <w:rPr>
          <w:rFonts w:ascii="Arial Narrow" w:hAnsi="Arial Narrow" w:cs="Arial"/>
          <w:b/>
          <w:bCs/>
          <w:sz w:val="20"/>
          <w:szCs w:val="20"/>
        </w:rPr>
        <w:t xml:space="preserve"> DE PREÇOS</w:t>
      </w:r>
      <w:r w:rsidRPr="003D17DE">
        <w:rPr>
          <w:rFonts w:ascii="Arial Narrow" w:hAnsi="Arial Narrow" w:cs="Arial"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Pr="003D17DE">
        <w:rPr>
          <w:rFonts w:ascii="Arial Narrow" w:hAnsi="Arial Narrow" w:cstheme="minorHAnsi"/>
          <w:b/>
          <w:sz w:val="20"/>
          <w:szCs w:val="20"/>
        </w:rPr>
        <w:t>E</w:t>
      </w:r>
      <w:r w:rsidRPr="003D17DE">
        <w:rPr>
          <w:rFonts w:ascii="Arial Narrow" w:hAnsi="Arial Narrow"/>
          <w:b/>
          <w:color w:val="000000"/>
          <w:sz w:val="20"/>
          <w:szCs w:val="20"/>
        </w:rPr>
        <w:t>QUIPAMENTOS E MATERIAIS DE INFORMÁTICA</w:t>
      </w:r>
      <w:r w:rsidRPr="003D17DE">
        <w:rPr>
          <w:rFonts w:ascii="Arial Narrow" w:hAnsi="Arial Narrow" w:cs="Arial"/>
          <w:b/>
          <w:sz w:val="20"/>
          <w:szCs w:val="20"/>
        </w:rPr>
        <w:t xml:space="preserve"> </w:t>
      </w:r>
      <w:r w:rsidRPr="003D17DE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36EAB7E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59DBB88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6F304D7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2B1887C7" w14:textId="77777777" w:rsidR="004642E8" w:rsidRPr="00C5356C" w:rsidRDefault="004642E8" w:rsidP="004642E8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71DA3F3" w14:textId="77777777" w:rsidR="004642E8" w:rsidRPr="00C5356C" w:rsidRDefault="004642E8" w:rsidP="0046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7278621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42518C8F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4D8A2B6E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48B100DD" w14:textId="7881F97E" w:rsidR="004642E8" w:rsidRPr="00594A67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A20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47A20">
        <w:rPr>
          <w:rFonts w:ascii="Arial Narrow" w:hAnsi="Arial Narrow" w:cs="Arial"/>
          <w:sz w:val="20"/>
          <w:szCs w:val="20"/>
        </w:rPr>
        <w:t>10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24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57245274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74"/>
        <w:gridCol w:w="691"/>
        <w:gridCol w:w="913"/>
        <w:gridCol w:w="3277"/>
        <w:gridCol w:w="1488"/>
        <w:gridCol w:w="1082"/>
        <w:gridCol w:w="1499"/>
      </w:tblGrid>
      <w:tr w:rsidR="00AB2CFD" w:rsidRPr="00AB2CFD" w14:paraId="532203A7" w14:textId="77777777" w:rsidTr="00AB2CFD">
        <w:trPr>
          <w:trHeight w:val="184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5A7D7" w14:textId="77777777" w:rsidR="00AB2CFD" w:rsidRPr="00AB2CFD" w:rsidRDefault="00AB2CFD" w:rsidP="00E811C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  <w:r w:rsidRPr="00AB2CFD"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4953B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UN.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DE622" w14:textId="77777777" w:rsidR="00AB2CFD" w:rsidRPr="00AB2CFD" w:rsidRDefault="00AB2CFD" w:rsidP="00E811C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2624B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1BD13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MARCA MODELO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5ECF55F8" w14:textId="77777777" w:rsidR="00AB2CFD" w:rsidRPr="00AB2CFD" w:rsidRDefault="00AB2CFD" w:rsidP="00E811C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AB2CFD" w:rsidRPr="00AB2CFD" w14:paraId="5C674FB6" w14:textId="77777777" w:rsidTr="00AB2CFD">
        <w:trPr>
          <w:trHeight w:val="40"/>
        </w:trPr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30179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C56B3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6DF68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54C1C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591E7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52E9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8A890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AB2CFD" w:rsidRPr="00AB2CFD" w14:paraId="6F206329" w14:textId="77777777" w:rsidTr="00AB2CF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9EA30" w14:textId="77777777" w:rsidR="00AB2CFD" w:rsidRPr="00AB2CFD" w:rsidRDefault="00AB2CFD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AB2CFD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9EA96" w14:textId="77777777" w:rsidR="00AB2CFD" w:rsidRPr="00AB2CFD" w:rsidRDefault="00AB2CFD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AB2CFD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94A59" w14:textId="77777777" w:rsidR="00AB2CFD" w:rsidRPr="00AB2CFD" w:rsidRDefault="00AB2CFD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AB2CFD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15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C2F40" w14:textId="2E7EF521" w:rsidR="00AB2CFD" w:rsidRPr="00AB2CFD" w:rsidRDefault="00AB2CFD" w:rsidP="00E811C6">
            <w:pPr>
              <w:pStyle w:val="TableParagraph"/>
              <w:ind w:left="0" w:right="46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B2CF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Smartfone com as seguintes especificações </w:t>
            </w:r>
            <w:proofErr w:type="spellStart"/>
            <w:r w:rsidRPr="00AB2CF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mínimas: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t>Processador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: Velocidade do Processador 2.4GHz, 2GHz Tipo de Processador: </w:t>
            </w:r>
            <w:proofErr w:type="spellStart"/>
            <w:r w:rsidRPr="00AB2CFD">
              <w:rPr>
                <w:rFonts w:ascii="Arial Narrow" w:hAnsi="Arial Narrow" w:cs="Times New Roman"/>
                <w:sz w:val="20"/>
                <w:szCs w:val="20"/>
              </w:rPr>
              <w:t>Octa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 Core; Tela Tamanho: 6.6"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Resolução:1080 x 2340 (FHD+); Câmeras Traseiras (Múltiplas) - Resolução 50.0 MP + 8.0 MP +5.0 MP; Câmeras Traseiras (Múltiplas) - Abertura F1.8 , F2.2 , F2.4;Câmeras Traseiras - 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lastRenderedPageBreak/>
              <w:t>Com Foco Automático; Câmeras Traseiras - Com Estabilizador de Imagem; Câmeras Traseiras - Com Zoom Digital até 10x; Câmera Frontal - Com Resolução 13.0 MP; Câmera Frontal - Com Abertura F2.2; Câmera Traseira - Com Flash; Resolução de Gravação de Vídeos*** UHD 4K (3840 x 2160) @30fps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Câmera Lenta 240fps @HD; Armazenamento/Memória: 6 GB; Armazenamento: 128 GB; Armazenamento Externo Suportado: </w:t>
            </w:r>
            <w:proofErr w:type="spellStart"/>
            <w:r w:rsidRPr="00AB2CFD">
              <w:rPr>
                <w:rFonts w:ascii="Arial Narrow" w:hAnsi="Arial Narrow" w:cs="Times New Roman"/>
                <w:sz w:val="20"/>
                <w:szCs w:val="20"/>
              </w:rPr>
              <w:t>MicroSD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 (até 1TB); Número de Chip: Dual-SIM; Tipo de Chip (SIM Card), Nano-SIM (4FF); Tipo de Slot de Chip: Chip 1 + Chip ou Micro SD (Híbrido); Conexões: 4G, 5G</w:t>
            </w:r>
          </w:p>
          <w:p w14:paraId="7D90F7AA" w14:textId="578ED01F" w:rsidR="00AB2CFD" w:rsidRPr="00AB2CFD" w:rsidRDefault="00AB2CFD" w:rsidP="00AB2CFD">
            <w:pPr>
              <w:pStyle w:val="TableParagraph"/>
              <w:ind w:left="0" w:right="46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Conectividade: USB Interface, USB - Tipo </w:t>
            </w:r>
            <w:proofErr w:type="spellStart"/>
            <w:r w:rsidRPr="00AB2CFD">
              <w:rPr>
                <w:rFonts w:ascii="Arial Narrow" w:hAnsi="Arial Narrow" w:cs="Times New Roman"/>
                <w:sz w:val="20"/>
                <w:szCs w:val="20"/>
              </w:rPr>
              <w:t>CVersão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 de USB: USB 2.0; Localização: GPS, Glonass, </w:t>
            </w:r>
            <w:proofErr w:type="spellStart"/>
            <w:r w:rsidRPr="00AB2CFD">
              <w:rPr>
                <w:rFonts w:ascii="Arial Narrow" w:hAnsi="Arial Narrow" w:cs="Times New Roman"/>
                <w:sz w:val="20"/>
                <w:szCs w:val="20"/>
              </w:rPr>
              <w:t>Beidou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, Galileo, QZSS; Conector de Fone de Ouvido: USB </w:t>
            </w:r>
            <w:proofErr w:type="spellStart"/>
            <w:r w:rsidRPr="00AB2CFD">
              <w:rPr>
                <w:rFonts w:ascii="Arial Narrow" w:hAnsi="Arial Narrow" w:cs="Times New Roman"/>
                <w:sz w:val="20"/>
                <w:szCs w:val="20"/>
              </w:rPr>
              <w:t>Type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>-C Wi-Fi: 802.11a/b/g/n/ac/</w:t>
            </w:r>
            <w:proofErr w:type="spellStart"/>
            <w:r w:rsidRPr="00AB2CFD">
              <w:rPr>
                <w:rFonts w:ascii="Arial Narrow" w:hAnsi="Arial Narrow" w:cs="Times New Roman"/>
                <w:sz w:val="20"/>
                <w:szCs w:val="20"/>
              </w:rPr>
              <w:t>ax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 2.4GHz+5GHz, HE80, MIMO, 1024-QAM; Wi-Fi Direct: Sim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t>Versão de Bluetooth: Bluetooth v5.3; NFC: Sim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PC Sync: </w:t>
            </w:r>
            <w:proofErr w:type="spellStart"/>
            <w:r w:rsidRPr="00AB2CFD">
              <w:rPr>
                <w:rFonts w:ascii="Arial Narrow" w:hAnsi="Arial Narrow" w:cs="Times New Roman"/>
                <w:sz w:val="20"/>
                <w:szCs w:val="20"/>
              </w:rPr>
              <w:t>Smart</w:t>
            </w:r>
            <w:proofErr w:type="spellEnd"/>
            <w:r w:rsidRPr="00AB2CFD">
              <w:rPr>
                <w:rFonts w:ascii="Arial Narrow" w:hAnsi="Arial Narrow" w:cs="Times New Roman"/>
                <w:sz w:val="20"/>
                <w:szCs w:val="20"/>
              </w:rPr>
              <w:t xml:space="preserve"> Switch (Versão para PC)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t>Sistema Operacional: Android Sensores: Acelerômetro, Sensor de Impressão Digital, Giroscópio, Sensor Geomagnético, Sensor de Efeito Hall, Sensor de Luz, Sensor de Proximidade Virtual; Especificações Físicas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B2CFD">
              <w:rPr>
                <w:rFonts w:ascii="Arial Narrow" w:hAnsi="Arial Narrow" w:cs="Times New Roman"/>
                <w:sz w:val="20"/>
                <w:szCs w:val="20"/>
              </w:rPr>
              <w:t>Bateria: Não Removível; Áudio e Vídeo: Com Som Estéreo; Formato de Reprodução de Vídeo: MP4, M4V, 3GP, 3G2, AVI, FLV, MKV, WEBM; Resolução de Reprodução de Vídeo: UHD 4K (3840 x 2160) @30fps. Formato de Reprodução de Áudio: MP3, M4A, 3GA, AAC, OGG, OGA, WAV, AMR, AWB, FLAC, MID, MIDI, XMF, MXMF, IMY, RTTTL, RTX, OTA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A36C2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CFD">
              <w:rPr>
                <w:rFonts w:ascii="Arial Narrow" w:hAnsi="Arial Narrow"/>
                <w:sz w:val="20"/>
                <w:szCs w:val="20"/>
              </w:rPr>
              <w:lastRenderedPageBreak/>
              <w:t>SAMSUNG / A55 / 12 MESES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39003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2.935,00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88D44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44.025,00</w:t>
            </w:r>
          </w:p>
        </w:tc>
      </w:tr>
      <w:tr w:rsidR="00AB2CFD" w:rsidRPr="00AB2CFD" w14:paraId="4BD1A1D1" w14:textId="77777777" w:rsidTr="00AB2CFD">
        <w:trPr>
          <w:trHeight w:val="135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906AB" w14:textId="77777777" w:rsidR="00AB2CFD" w:rsidRPr="00AB2CFD" w:rsidRDefault="00AB2CFD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CFD">
              <w:rPr>
                <w:rFonts w:ascii="Arial Narrow" w:hAnsi="Arial Narrow"/>
                <w:b/>
                <w:sz w:val="20"/>
                <w:szCs w:val="20"/>
              </w:rPr>
              <w:t>VALOR TOTAL DE ATÉ R$ 44.025,00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0A69531B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 e.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lastRenderedPageBreak/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2247252E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0C6912">
        <w:rPr>
          <w:rFonts w:ascii="Arial Narrow" w:hAnsi="Arial Narrow" w:cs="Arial"/>
          <w:sz w:val="20"/>
          <w:szCs w:val="20"/>
        </w:rPr>
        <w:t>06.278143.0-7, Agência nº 0180, Banco Banrisul.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0D2DE6C9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</w:t>
      </w:r>
      <w:r w:rsidR="00DB5E54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521EBBD1" w14:textId="38804C5A" w:rsidR="00325712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2BAFE422" w14:textId="66AEB8E6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5.1</w:t>
      </w:r>
      <w:r w:rsidRPr="00325712">
        <w:rPr>
          <w:rFonts w:ascii="Arial Narrow" w:hAnsi="Arial Narrow" w:cs="Arial"/>
          <w:b w:val="0"/>
          <w:iCs/>
          <w:sz w:val="20"/>
        </w:rPr>
        <w:t xml:space="preserve">. A licitante vencedora deverá entregar os produtos no prazo máximo de </w:t>
      </w:r>
      <w:r w:rsidRPr="00325712">
        <w:rPr>
          <w:rFonts w:ascii="Arial Narrow" w:hAnsi="Arial Narrow" w:cs="Arial"/>
          <w:iCs/>
          <w:sz w:val="20"/>
        </w:rPr>
        <w:t>15 (quinze) dias</w:t>
      </w:r>
      <w:r w:rsidRPr="00325712">
        <w:rPr>
          <w:rFonts w:ascii="Arial Narrow" w:hAnsi="Arial Narrow" w:cs="Arial"/>
          <w:b w:val="0"/>
          <w:iCs/>
          <w:sz w:val="20"/>
        </w:rPr>
        <w:t xml:space="preserve"> a partir do recebimento da nota de empenho e/ou ordem de fornecimento, em dia de expediente, no horário das 07h30min às 11h30min e das 13h30min às 17h30min.</w:t>
      </w:r>
    </w:p>
    <w:p w14:paraId="15CFC90A" w14:textId="16BA8CAC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5.2.</w:t>
      </w:r>
      <w:r w:rsidRPr="00325712">
        <w:rPr>
          <w:rFonts w:ascii="Arial Narrow" w:hAnsi="Arial Narrow" w:cs="Arial"/>
          <w:b w:val="0"/>
          <w:iCs/>
          <w:sz w:val="20"/>
        </w:rPr>
        <w:t xml:space="preserve"> A entrega dos produtos será acompanhada e fiscalizada por representante(s) da Administração do Município de Cotiporã/RS, designado(s) para esse fim, permitida a assistência de terceiros.</w:t>
      </w:r>
    </w:p>
    <w:p w14:paraId="5F60528F" w14:textId="2208A465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5.3</w:t>
      </w:r>
      <w:r w:rsidRPr="00325712">
        <w:rPr>
          <w:rFonts w:ascii="Arial Narrow" w:hAnsi="Arial Narrow" w:cs="Arial"/>
          <w:b w:val="0"/>
          <w:iCs/>
          <w:sz w:val="20"/>
        </w:rPr>
        <w:t>. 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0D4C0E32" w14:textId="392C037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5.4.</w:t>
      </w:r>
      <w:r w:rsidRPr="00325712">
        <w:rPr>
          <w:rFonts w:ascii="Arial Narrow" w:hAnsi="Arial Narrow"/>
          <w:sz w:val="20"/>
          <w:szCs w:val="20"/>
        </w:rPr>
        <w:t xml:space="preserve"> A Licitante vencedora deverá efetuar a entrega dos produtos livre de frete e descarga, no endereço fornecido pela Secretaria solicitante. </w:t>
      </w:r>
    </w:p>
    <w:p w14:paraId="39C94A43" w14:textId="2324092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5.5.</w:t>
      </w:r>
      <w:r w:rsidRPr="00325712">
        <w:rPr>
          <w:rFonts w:ascii="Arial Narrow" w:hAnsi="Arial Narrow"/>
          <w:sz w:val="20"/>
          <w:szCs w:val="20"/>
        </w:rPr>
        <w:t xml:space="preserve"> Os itens que não atenderem as condições descritas, não serão aceitos e será efetuada a devolução sem ônus para o Município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BD3FA3" w14:textId="135E3548" w:rsidR="00D86B98" w:rsidRDefault="00325712" w:rsidP="00D86B98">
      <w:pPr>
        <w:jc w:val="both"/>
        <w:rPr>
          <w:rFonts w:ascii="Arial Narrow" w:hAnsi="Arial Narrow" w:cs="Arial"/>
          <w:sz w:val="20"/>
          <w:szCs w:val="20"/>
        </w:rPr>
      </w:pPr>
      <w:r w:rsidRPr="00325712">
        <w:rPr>
          <w:rFonts w:ascii="Arial Narrow" w:hAnsi="Arial Narrow" w:cs="Arial"/>
          <w:b/>
          <w:bCs/>
          <w:sz w:val="20"/>
          <w:szCs w:val="20"/>
        </w:rPr>
        <w:t>6.1.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86B98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73F3A17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5AA4643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02647430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5C57923C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325712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325712">
        <w:rPr>
          <w:rFonts w:ascii="Arial Narrow" w:hAnsi="Arial Narrow"/>
          <w:b/>
        </w:rPr>
        <w:t>a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325712">
        <w:rPr>
          <w:rFonts w:ascii="Arial Narrow" w:hAnsi="Arial Narrow"/>
          <w:b/>
        </w:rPr>
        <w:t>Joana</w:t>
      </w:r>
      <w:proofErr w:type="gramEnd"/>
      <w:r w:rsidR="00325712">
        <w:rPr>
          <w:rFonts w:ascii="Arial Narrow" w:hAnsi="Arial Narrow"/>
          <w:b/>
        </w:rPr>
        <w:t xml:space="preserve"> Inês </w:t>
      </w:r>
      <w:proofErr w:type="spellStart"/>
      <w:r w:rsidR="00325712">
        <w:rPr>
          <w:rFonts w:ascii="Arial Narrow" w:hAnsi="Arial Narrow"/>
          <w:b/>
        </w:rPr>
        <w:t>Citolin</w:t>
      </w:r>
      <w:proofErr w:type="spellEnd"/>
      <w:r w:rsidR="00325712">
        <w:rPr>
          <w:rFonts w:ascii="Arial Narrow" w:hAnsi="Arial Narrow"/>
          <w:b/>
        </w:rPr>
        <w:t xml:space="preserve"> </w:t>
      </w:r>
      <w:proofErr w:type="spellStart"/>
      <w:r w:rsidR="00325712">
        <w:rPr>
          <w:rFonts w:ascii="Arial Narrow" w:hAnsi="Arial Narrow"/>
          <w:b/>
        </w:rPr>
        <w:t>Zanovello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25C6C9B5" w14:textId="2816A41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</w:t>
      </w:r>
      <w:r w:rsidR="00247A20">
        <w:rPr>
          <w:rFonts w:ascii="Arial Narrow" w:hAnsi="Arial Narrow" w:cs="Arial"/>
          <w:sz w:val="20"/>
          <w:szCs w:val="20"/>
        </w:rPr>
        <w:t>0</w:t>
      </w:r>
      <w:r w:rsidR="00AB2CFD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AB2CFD">
        <w:rPr>
          <w:rFonts w:ascii="Arial Narrow" w:hAnsi="Arial Narrow" w:cs="Arial"/>
          <w:sz w:val="20"/>
          <w:szCs w:val="20"/>
        </w:rPr>
        <w:t>seis</w:t>
      </w:r>
      <w:r>
        <w:rPr>
          <w:rFonts w:ascii="Arial Narrow" w:hAnsi="Arial Narrow" w:cs="Arial"/>
          <w:sz w:val="20"/>
          <w:szCs w:val="20"/>
        </w:rPr>
        <w:t xml:space="preserve">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34EAA9" w14:textId="77777777" w:rsidR="00D86B98" w:rsidRDefault="00D86B98" w:rsidP="00D86B98">
      <w:pPr>
        <w:jc w:val="both"/>
        <w:rPr>
          <w:rFonts w:ascii="Arial Narrow" w:hAnsi="Arial Narrow" w:cs="Arial"/>
          <w:sz w:val="16"/>
          <w:szCs w:val="16"/>
        </w:rPr>
      </w:pPr>
    </w:p>
    <w:p w14:paraId="471B414B" w14:textId="10E9BF36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850597">
        <w:rPr>
          <w:rFonts w:ascii="Arial Narrow" w:hAnsi="Arial Narrow" w:cs="Arial"/>
          <w:sz w:val="18"/>
          <w:szCs w:val="18"/>
        </w:rPr>
        <w:t>19 de junho de 2024</w:t>
      </w:r>
    </w:p>
    <w:p w14:paraId="4481F2B1" w14:textId="77777777" w:rsidR="00850597" w:rsidRDefault="00850597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BA4A34C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6536AAEA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850597">
        <w:rPr>
          <w:rFonts w:ascii="Arial Narrow" w:hAnsi="Arial Narrow" w:cs="Arial"/>
          <w:sz w:val="18"/>
          <w:szCs w:val="18"/>
        </w:rPr>
        <w:t xml:space="preserve">   </w:t>
      </w:r>
      <w:r w:rsidR="00850597" w:rsidRPr="00850597">
        <w:rPr>
          <w:rFonts w:ascii="Arial Narrow" w:hAnsi="Arial Narrow" w:cs="Arial"/>
          <w:b/>
          <w:bCs/>
          <w:sz w:val="20"/>
          <w:szCs w:val="20"/>
        </w:rPr>
        <w:t>TB SUPRIMENTOS PARA INFORMATICA LTDA EPP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6995952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7EEA0D90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325712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32571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21C8FD3" w14:textId="15CD35B9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325712">
        <w:rPr>
          <w:rFonts w:ascii="Arial Narrow" w:hAnsi="Arial Narrow" w:cs="Arial"/>
          <w:sz w:val="18"/>
          <w:szCs w:val="18"/>
        </w:rPr>
        <w:t>003.969.520</w:t>
      </w:r>
      <w:proofErr w:type="gramEnd"/>
      <w:r w:rsidR="00325712">
        <w:rPr>
          <w:rFonts w:ascii="Arial Narrow" w:hAnsi="Arial Narrow" w:cs="Arial"/>
          <w:sz w:val="18"/>
          <w:szCs w:val="18"/>
        </w:rPr>
        <w:t>-46</w:t>
      </w:r>
      <w:r>
        <w:rPr>
          <w:rFonts w:ascii="Arial Narrow" w:hAnsi="Arial Narrow" w:cs="Arial"/>
          <w:sz w:val="18"/>
          <w:szCs w:val="18"/>
        </w:rPr>
        <w:t xml:space="preserve">                  CPF/MF nº 018.029.630-22</w:t>
      </w:r>
    </w:p>
    <w:p w14:paraId="6CC6515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F2B5F95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FE9D0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BDB4E2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75290AE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5851A96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59A8E2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0B0CF60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A1077A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4CB437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4E736F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53497A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DAB513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057798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6DD317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A2622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6AA2" w14:textId="77777777" w:rsidR="001F083D" w:rsidRDefault="001F083D" w:rsidP="00965D67">
      <w:r>
        <w:separator/>
      </w:r>
    </w:p>
  </w:endnote>
  <w:endnote w:type="continuationSeparator" w:id="0">
    <w:p w14:paraId="47FA7767" w14:textId="77777777" w:rsidR="001F083D" w:rsidRDefault="001F083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764EC" w14:textId="77777777" w:rsidR="001F083D" w:rsidRDefault="001F083D" w:rsidP="00965D67">
      <w:r>
        <w:separator/>
      </w:r>
    </w:p>
  </w:footnote>
  <w:footnote w:type="continuationSeparator" w:id="0">
    <w:p w14:paraId="412A19E3" w14:textId="77777777" w:rsidR="001F083D" w:rsidRDefault="001F083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30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1B8B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691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193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B7A80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1F083D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3511F"/>
    <w:rsid w:val="00242A87"/>
    <w:rsid w:val="002454BD"/>
    <w:rsid w:val="00247A20"/>
    <w:rsid w:val="0025334E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25712"/>
    <w:rsid w:val="00332123"/>
    <w:rsid w:val="0034053B"/>
    <w:rsid w:val="00346AAD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17DE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357DF"/>
    <w:rsid w:val="004428D8"/>
    <w:rsid w:val="004438C6"/>
    <w:rsid w:val="00447848"/>
    <w:rsid w:val="00447C23"/>
    <w:rsid w:val="00450806"/>
    <w:rsid w:val="00453FF7"/>
    <w:rsid w:val="00454C29"/>
    <w:rsid w:val="004642E8"/>
    <w:rsid w:val="004675E8"/>
    <w:rsid w:val="004717B9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C316B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C1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5D5B"/>
    <w:rsid w:val="0061114F"/>
    <w:rsid w:val="00613A17"/>
    <w:rsid w:val="00615921"/>
    <w:rsid w:val="0061644C"/>
    <w:rsid w:val="006167B2"/>
    <w:rsid w:val="00616E3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D6A44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1C40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C36B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7F33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50597"/>
    <w:rsid w:val="0086092E"/>
    <w:rsid w:val="00860A9D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012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396C"/>
    <w:rsid w:val="009E564D"/>
    <w:rsid w:val="009F2501"/>
    <w:rsid w:val="009F25C8"/>
    <w:rsid w:val="00A005AC"/>
    <w:rsid w:val="00A0251F"/>
    <w:rsid w:val="00A169C0"/>
    <w:rsid w:val="00A1769D"/>
    <w:rsid w:val="00A2079B"/>
    <w:rsid w:val="00A2622E"/>
    <w:rsid w:val="00A26B40"/>
    <w:rsid w:val="00A273BC"/>
    <w:rsid w:val="00A32287"/>
    <w:rsid w:val="00A327AE"/>
    <w:rsid w:val="00A32B5B"/>
    <w:rsid w:val="00A33C7F"/>
    <w:rsid w:val="00A3648C"/>
    <w:rsid w:val="00A37DA0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1AD1"/>
    <w:rsid w:val="00AB2CFD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AF4D4E"/>
    <w:rsid w:val="00B010DE"/>
    <w:rsid w:val="00B07E49"/>
    <w:rsid w:val="00B17804"/>
    <w:rsid w:val="00B25AF3"/>
    <w:rsid w:val="00B529EC"/>
    <w:rsid w:val="00B56EB2"/>
    <w:rsid w:val="00B6114E"/>
    <w:rsid w:val="00B741D3"/>
    <w:rsid w:val="00B752E0"/>
    <w:rsid w:val="00B76D42"/>
    <w:rsid w:val="00B8224E"/>
    <w:rsid w:val="00B828D4"/>
    <w:rsid w:val="00B858BF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2801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14DC3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D72F4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17FAD"/>
    <w:rsid w:val="00D20D4F"/>
    <w:rsid w:val="00D22930"/>
    <w:rsid w:val="00D31153"/>
    <w:rsid w:val="00D31B52"/>
    <w:rsid w:val="00D31BB7"/>
    <w:rsid w:val="00D337B7"/>
    <w:rsid w:val="00D3536C"/>
    <w:rsid w:val="00D4133C"/>
    <w:rsid w:val="00D413F6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BF1"/>
    <w:rsid w:val="00D82F01"/>
    <w:rsid w:val="00D843AE"/>
    <w:rsid w:val="00D855E0"/>
    <w:rsid w:val="00D86B98"/>
    <w:rsid w:val="00D92BD1"/>
    <w:rsid w:val="00D9362D"/>
    <w:rsid w:val="00D96D50"/>
    <w:rsid w:val="00D9778A"/>
    <w:rsid w:val="00DA21B4"/>
    <w:rsid w:val="00DA27CC"/>
    <w:rsid w:val="00DA31D8"/>
    <w:rsid w:val="00DA6DDF"/>
    <w:rsid w:val="00DB23C3"/>
    <w:rsid w:val="00DB46B9"/>
    <w:rsid w:val="00DB500F"/>
    <w:rsid w:val="00DB5D35"/>
    <w:rsid w:val="00DB5E54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E01FDB"/>
    <w:rsid w:val="00E0361B"/>
    <w:rsid w:val="00E057D7"/>
    <w:rsid w:val="00E0725F"/>
    <w:rsid w:val="00E0760B"/>
    <w:rsid w:val="00E12CDC"/>
    <w:rsid w:val="00E14735"/>
    <w:rsid w:val="00E162EB"/>
    <w:rsid w:val="00E1695D"/>
    <w:rsid w:val="00E17BE9"/>
    <w:rsid w:val="00E2077E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491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421"/>
    <w:rsid w:val="00F80B16"/>
    <w:rsid w:val="00F86A21"/>
    <w:rsid w:val="00F87A35"/>
    <w:rsid w:val="00F9020B"/>
    <w:rsid w:val="00F903E0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337B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  <w:style w:type="paragraph" w:customStyle="1" w:styleId="Nvel2">
    <w:name w:val="Nível 2"/>
    <w:basedOn w:val="Normal"/>
    <w:next w:val="Normal"/>
    <w:rsid w:val="009E396C"/>
    <w:pPr>
      <w:spacing w:after="120"/>
      <w:jc w:val="both"/>
    </w:pPr>
    <w:rPr>
      <w:rFonts w:ascii="Arial" w:hAnsi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D17FAD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paragraph">
    <w:name w:val="paragraph"/>
    <w:basedOn w:val="Normal"/>
    <w:rsid w:val="00D17FA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D17FAD"/>
  </w:style>
  <w:style w:type="character" w:customStyle="1" w:styleId="eop">
    <w:name w:val="eop"/>
    <w:basedOn w:val="Fontepargpadro"/>
    <w:rsid w:val="00D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3226</Words>
  <Characters>17423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54</cp:revision>
  <cp:lastPrinted>2024-06-19T12:48:00Z</cp:lastPrinted>
  <dcterms:created xsi:type="dcterms:W3CDTF">2024-01-09T14:40:00Z</dcterms:created>
  <dcterms:modified xsi:type="dcterms:W3CDTF">2024-06-19T12:48:00Z</dcterms:modified>
</cp:coreProperties>
</file>